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B9DF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17457C7A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5FC50D5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259DA53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MANAJEMEN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TEKNOLOGI  INFORMASI</w:t>
      </w:r>
      <w:proofErr w:type="gramEnd"/>
    </w:p>
    <w:p w14:paraId="6F455104" w14:textId="49599AB2" w:rsidR="00494FCC" w:rsidRDefault="00494FCC"/>
    <w:p w14:paraId="01F81EBE" w14:textId="77777777" w:rsidR="001417E1" w:rsidRPr="001417E1" w:rsidRDefault="001417E1" w:rsidP="001417E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membayangi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r w:rsidRPr="001417E1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26BFFFEB" w14:textId="77777777" w:rsidR="001417E1" w:rsidRPr="001417E1" w:rsidRDefault="001417E1" w:rsidP="001417E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masing-masing:</w:t>
      </w:r>
    </w:p>
    <w:p w14:paraId="2EC9AA40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r w:rsidRPr="001417E1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enentukan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1417E1">
        <w:rPr>
          <w:rFonts w:ascii="Times New Roman" w:hAnsi="Times New Roman" w:cs="Times New Roman"/>
          <w:sz w:val="24"/>
          <w:szCs w:val="24"/>
        </w:rPr>
        <w:t>di</w:t>
      </w:r>
      <w:r w:rsidRPr="001417E1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1417E1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kerawanan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beroperasinya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0995157F" w14:textId="4F3A9B59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2B7249F4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dampakya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5A8BE6C9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membayanginya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4421A25B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17E1">
        <w:rPr>
          <w:rFonts w:ascii="Times New Roman" w:hAnsi="Times New Roman" w:cs="Times New Roman"/>
          <w:sz w:val="24"/>
          <w:szCs w:val="24"/>
        </w:rPr>
        <w:t xml:space="preserve">(event)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07A69669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17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eksposur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17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1CE4E84E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mengavaluasi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417E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14B0A79E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</w:t>
      </w:r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813F711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Menyepakati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menyetuj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>u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menginstitu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ionalisasikan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17E1">
        <w:rPr>
          <w:rFonts w:ascii="Times New Roman" w:hAnsi="Times New Roman" w:cs="Times New Roman"/>
          <w:sz w:val="24"/>
          <w:szCs w:val="24"/>
        </w:rPr>
        <w:t>yang</w:t>
      </w:r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30FA3C97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17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204BE4BD" w14:textId="77777777" w:rsidR="001417E1" w:rsidRPr="001417E1" w:rsidRDefault="001417E1" w:rsidP="001417E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7E1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:</w:t>
      </w:r>
    </w:p>
    <w:p w14:paraId="1A92E6E0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10AFEC68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7E1">
        <w:rPr>
          <w:rFonts w:ascii="Times New Roman" w:hAnsi="Times New Roman" w:cs="Times New Roman"/>
          <w:sz w:val="24"/>
          <w:szCs w:val="24"/>
        </w:rPr>
        <w:t>Model</w:t>
      </w:r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17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480CFAC4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34FD18C1" w14:textId="540D87A1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br/>
        <w:t xml:space="preserve">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strategi</w:t>
      </w:r>
      <w:r w:rsidRPr="001417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419342CB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(Response)</w:t>
      </w:r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1417E1">
        <w:rPr>
          <w:rFonts w:ascii="Times New Roman" w:hAnsi="Times New Roman" w:cs="Times New Roman"/>
          <w:sz w:val="24"/>
          <w:szCs w:val="24"/>
        </w:rPr>
        <w:t xml:space="preserve">ko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49762F8D" w14:textId="77777777" w:rsidR="001417E1" w:rsidRPr="001417E1" w:rsidRDefault="001417E1" w:rsidP="001417E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7E1">
        <w:rPr>
          <w:rFonts w:ascii="Times New Roman" w:hAnsi="Times New Roman" w:cs="Times New Roman"/>
          <w:sz w:val="24"/>
          <w:szCs w:val="24"/>
        </w:rPr>
        <w:t xml:space="preserve">Tata Kelola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324C31FD" w14:textId="77777777" w:rsidR="001417E1" w:rsidRPr="001417E1" w:rsidRDefault="001417E1" w:rsidP="001417E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; (ii)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diformalkan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; (iii)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oleh unit-unit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; (iv)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audit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; dan lain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30268908" w14:textId="77777777" w:rsidR="001417E1" w:rsidRPr="001417E1" w:rsidRDefault="001417E1" w:rsidP="001417E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7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terlena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7E1">
        <w:rPr>
          <w:rFonts w:ascii="Times New Roman" w:hAnsi="Times New Roman" w:cs="Times New Roman"/>
          <w:sz w:val="24"/>
          <w:szCs w:val="24"/>
        </w:rPr>
        <w:t>membayanginya</w:t>
      </w:r>
      <w:proofErr w:type="spellEnd"/>
      <w:r w:rsidRPr="001417E1">
        <w:rPr>
          <w:rFonts w:ascii="Times New Roman" w:hAnsi="Times New Roman" w:cs="Times New Roman"/>
          <w:sz w:val="24"/>
          <w:szCs w:val="24"/>
        </w:rPr>
        <w:t>.</w:t>
      </w:r>
    </w:p>
    <w:p w14:paraId="26190BEC" w14:textId="77777777" w:rsidR="001417E1" w:rsidRPr="001417E1" w:rsidRDefault="001417E1" w:rsidP="001417E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6667A61" w14:textId="792A8A7E" w:rsidR="001417E1" w:rsidRPr="001417E1" w:rsidRDefault="001417E1" w:rsidP="001417E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A540031" w14:textId="676AE235" w:rsidR="00186A7C" w:rsidRPr="00186A7C" w:rsidRDefault="00186A7C" w:rsidP="001417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86A7C" w:rsidRPr="00186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426"/>
    <w:multiLevelType w:val="hybridMultilevel"/>
    <w:tmpl w:val="6330BCF2"/>
    <w:lvl w:ilvl="0" w:tplc="FF341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2072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2B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CD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4B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0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ED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B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00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B47AF"/>
    <w:multiLevelType w:val="hybridMultilevel"/>
    <w:tmpl w:val="B15A78BC"/>
    <w:lvl w:ilvl="0" w:tplc="3C0AC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D8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2C6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AD4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8C7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E64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0AD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E7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AF0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5235"/>
    <w:multiLevelType w:val="hybridMultilevel"/>
    <w:tmpl w:val="1E5AE2BE"/>
    <w:lvl w:ilvl="0" w:tplc="2D82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8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CE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00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C4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EF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02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8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A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3C1044"/>
    <w:multiLevelType w:val="hybridMultilevel"/>
    <w:tmpl w:val="62B2B4DA"/>
    <w:lvl w:ilvl="0" w:tplc="A8F2E7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24A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288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6C3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20F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21D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C7A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87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C07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4E7E"/>
    <w:multiLevelType w:val="hybridMultilevel"/>
    <w:tmpl w:val="D9EA798E"/>
    <w:lvl w:ilvl="0" w:tplc="AA76F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B43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22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EF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CA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C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41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6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1A1BA9"/>
    <w:multiLevelType w:val="hybridMultilevel"/>
    <w:tmpl w:val="BFBE7538"/>
    <w:lvl w:ilvl="0" w:tplc="468E1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89A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CC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82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36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4B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EE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626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699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71A79"/>
    <w:multiLevelType w:val="hybridMultilevel"/>
    <w:tmpl w:val="A0820642"/>
    <w:lvl w:ilvl="0" w:tplc="6C9876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49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404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E68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65E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C8E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2B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4BE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C"/>
    <w:rsid w:val="001417E1"/>
    <w:rsid w:val="00186A7C"/>
    <w:rsid w:val="00422E23"/>
    <w:rsid w:val="00461078"/>
    <w:rsid w:val="0049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E128"/>
  <w15:chartTrackingRefBased/>
  <w15:docId w15:val="{4BEA1157-0EC7-46F2-9C40-0F5E65D5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2021-10-21T08:52:00Z</dcterms:created>
  <dcterms:modified xsi:type="dcterms:W3CDTF">2021-10-27T17:52:00Z</dcterms:modified>
</cp:coreProperties>
</file>