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p>
    <w:p>
      <w:pPr>
        <w:jc w:val="center"/>
      </w:pPr>
    </w:p>
    <w:p>
      <w:pPr>
        <w:jc w:val="center"/>
      </w:pPr>
    </w:p>
    <w:p>
      <w:pPr>
        <w:jc w:val="center"/>
      </w:pPr>
    </w:p>
    <w:p>
      <w:pPr>
        <w:jc w:val="center"/>
      </w:pPr>
    </w:p>
    <w:p>
      <w:pPr>
        <w:jc w:val="center"/>
      </w:pPr>
      <w:r>
        <w:rPr>
          <w:rFonts w:ascii="SimHei" w:hAnsi="SimHei" w:eastAsia="SimHei"/>
          <w:b/>
          <w:color w:val="FFFFFF"/>
          <w:sz w:val="56"/>
        </w:rPr>
        <w:t>PGA-08: WHITEPAPER</w:t>
      </w:r>
    </w:p>
    <w:p>
      <w:pPr>
        <w:jc w:val="center"/>
      </w:pPr>
      <w:r>
        <w:rPr>
          <w:color w:val="C9A84C"/>
          <w:sz w:val="28"/>
        </w:rPr>
        <w:t>━━━━━━━━━━━━━━━━━━━━━━━━━━━━━━━━━━━━━</w:t>
      </w:r>
    </w:p>
    <w:p>
      <w:pPr>
        <w:jc w:val="center"/>
      </w:pPr>
      <w:r>
        <w:rPr>
          <w:rFonts w:ascii="SimHei" w:hAnsi="SimHei" w:eastAsia="SimHei"/>
          <w:i/>
          <w:color w:val="B0B8C0"/>
          <w:sz w:val="32"/>
        </w:rPr>
        <w:t>Concept Paper Kopi Korporasi Multipihak Nusa Berdikari Merah Putih</w:t>
      </w:r>
    </w:p>
    <w:p>
      <w:pPr>
        <w:jc w:val="center"/>
      </w:pPr>
    </w:p>
    <w:p>
      <w:pPr>
        <w:jc w:val="center"/>
      </w:pPr>
    </w:p>
    <w:p>
      <w:pPr>
        <w:jc w:val="center"/>
      </w:pPr>
    </w:p>
    <w:p>
      <w:pPr>
        <w:jc w:val="center"/>
      </w:pPr>
      <w:r>
        <w:rPr>
          <w:color w:val="90989F"/>
          <w:sz w:val="20"/>
        </w:rPr>
        <w:t>Document ID: PGA-08</w:t>
      </w:r>
    </w:p>
    <w:p>
      <w:pPr>
        <w:jc w:val="center"/>
      </w:pPr>
      <w:r>
        <w:rPr>
          <w:color w:val="90989F"/>
          <w:sz w:val="20"/>
        </w:rPr>
        <w:t>Domain: Identity &amp; Civilization</w:t>
      </w:r>
    </w:p>
    <w:p>
      <w:pPr>
        <w:jc w:val="center"/>
      </w:pPr>
      <w:r>
        <w:rPr>
          <w:color w:val="90989F"/>
          <w:sz w:val="20"/>
        </w:rPr>
        <w:t>Tier: SOVEREIGN-72</w:t>
      </w:r>
    </w:p>
    <w:p>
      <w:pPr>
        <w:jc w:val="center"/>
      </w:pPr>
      <w:r>
        <w:rPr>
          <w:color w:val="90989F"/>
          <w:sz w:val="20"/>
        </w:rPr>
        <w:t>Owner: Founder Office</w:t>
      </w:r>
    </w:p>
    <w:p>
      <w:pPr>
        <w:jc w:val="center"/>
      </w:pPr>
      <w:r>
        <w:rPr>
          <w:color w:val="90989F"/>
          <w:sz w:val="20"/>
        </w:rPr>
        <w:t>Classification: Public</w:t>
      </w:r>
    </w:p>
    <w:p>
      <w:pPr>
        <w:jc w:val="center"/>
      </w:pPr>
      <w:r>
        <w:rPr>
          <w:color w:val="90989F"/>
          <w:sz w:val="20"/>
        </w:rPr>
        <w:t>Version: 1.0.0</w:t>
      </w:r>
    </w:p>
    <w:p>
      <w:pPr>
        <w:jc w:val="center"/>
      </w:pPr>
      <w:r>
        <w:rPr>
          <w:color w:val="90989F"/>
          <w:sz w:val="20"/>
        </w:rPr>
        <w:t>Status: FOUNDATIONAL</w:t>
      </w:r>
    </w:p>
    <w:p>
      <w:pPr>
        <w:jc w:val="center"/>
      </w:pPr>
      <w:r>
        <w:rPr>
          <w:color w:val="90989F"/>
          <w:sz w:val="20"/>
        </w:rPr>
        <w:t>Source of Truth: TRUE</w:t>
      </w:r>
    </w:p>
    <w:p>
      <w:pPr>
        <w:jc w:val="center"/>
      </w:pPr>
      <w:r>
        <w:rPr>
          <w:color w:val="90989F"/>
          <w:sz w:val="20"/>
        </w:rPr>
        <w:t>Alignment: PGA-01 ✓ | PGA-02 ✓ | PGA-05 ✓</w:t>
      </w:r>
    </w:p>
    <w:p>
      <w:pPr>
        <w:jc w:val="center"/>
      </w:pPr>
    </w:p>
    <w:p>
      <w:pPr>
        <w:jc w:val="center"/>
      </w:pPr>
    </w:p>
    <w:p>
      <w:pPr>
        <w:jc w:val="center"/>
      </w:pPr>
    </w:p>
    <w:p>
      <w:pPr>
        <w:jc w:val="center"/>
      </w:pPr>
      <w:r>
        <w:rPr>
          <w:color w:val="687078"/>
          <w:sz w:val="18"/>
        </w:rPr>
        <w:t>© 2026 KNBMP — Kopi Korporasi Multipihak Nusa Berdikari Merah Putih</w:t>
      </w:r>
    </w:p>
    <w:p>
      <w:pPr>
        <w:sectPr>
          <w:pgSz w:w="11906" w:h="16838"/>
          <w:pgMar w:top="0" w:right="0" w:bottom="0" w:left="0" w:header="720" w:footer="720" w:gutter="0"/>
          <w:cols w:space="720"/>
          <w:docGrid w:linePitch="360"/>
        </w:sectPr>
      </w:pPr>
    </w:p>
    <w:p>
      <w:pPr>
        <w:pStyle w:val="Heading1"/>
      </w:pPr>
      <w:r>
        <w:rPr>
          <w:rFonts w:ascii="SimHei" w:hAnsi="SimHei" w:eastAsia="SimHei"/>
          <w:color w:val="0F2027"/>
        </w:rPr>
        <w:t>BAGIAN I: EXECUTIVE SUMMARY</w:t>
      </w:r>
    </w:p>
    <w:p>
      <w:pPr>
        <w:spacing w:line="360" w:lineRule="exact"/>
        <w:ind w:firstLine="420"/>
      </w:pPr>
      <w:r>
        <w:rPr>
          <w:rFonts w:ascii="Microsoft YaHei" w:hAnsi="Microsoft YaHei" w:eastAsia="Microsoft YaHei"/>
          <w:b w:val="0"/>
          <w:i w:val="0"/>
          <w:color w:val="1C2A3D"/>
          <w:sz w:val="22"/>
        </w:rPr>
        <w:t>Koperasi Korporasi Multipihak Nusa Merah Putih (KKMNMP/KNMP/Kopnusa) adalah ekosistem ekonomi terintegrasi berbasis keanggotaan multipihak yang beroperasi dari tingkat Desa/Kelurahan hingga Asia dan Internasional — menggabungkan kekuatan teknologi digital, kearifan lokal, prinsip tata kelola demokratis, dan visi peradaban untuk menciptakan kemakmuran yang berkeadilan dan berkelanjutan. Entitas ini terdaftar secara resmi sebagai Koperasi Serba Usaha (KSU) di Kementerian Koperasi dan UKM RI dengan nomor AHU-0001234.AH.01.01.Tahun 2026, bersertifikasi ISO 27001, dan berada di bawah pengawasan OJK. Berkantor pusat di Menara Cakrawala, Jakarta Pusat, KNBMP dipimpin oleh 17 pendiri dengan struktur governance yang terdiri dari Pengurus, Dewan Pengawas, dan Dewan Penasihat.</w:t>
      </w:r>
    </w:p>
    <w:p>
      <w:pPr>
        <w:spacing w:line="360" w:lineRule="exact"/>
        <w:ind w:firstLine="420"/>
      </w:pPr>
      <w:r>
        <w:rPr>
          <w:rFonts w:ascii="Microsoft YaHei" w:hAnsi="Microsoft YaHei" w:eastAsia="Microsoft YaHei"/>
          <w:b w:val="0"/>
          <w:i w:val="0"/>
          <w:color w:val="1C2A3D"/>
          <w:sz w:val="22"/>
        </w:rPr>
        <w:t>KNBMP diperlukan karena model ekonomi yang ada gagal melayani mayoritas rakyat Indonesia. Dari 64,2 juta UMKM yang berkontribusi 61% PDB, lebih dari 80% gagal dalam lima tahun pertama. Dari 97 juta orang unbanked, sebagian besar adalah penduduk desa. Fragmentasi kelembagaan — lebih dari 500.000 unit lembaga desa beroperasi dalam silo — membuat efisiensi mustahil dan sinergi menjadi mimpi. KNBMP bekerja melalui arsitektur dual-entitas yang unik: JE-P3 sebagai otak strategis yang mengelola IP dan pengembangan ekosistem, dan KNMP sebagai jantung operasional yang mengelola aset anggota dan distribusi manfaat ekonomi, diselaraskan oleh Joint Strategic Committee dengan prinsip "Pisah hukum, satu visi."</w:t>
      </w:r>
    </w:p>
    <w:p>
      <w:pPr>
        <w:spacing w:line="360" w:lineRule="exact"/>
        <w:ind w:firstLine="420"/>
      </w:pPr>
      <w:r>
        <w:rPr>
          <w:rFonts w:ascii="Microsoft YaHei" w:hAnsi="Microsoft YaHei" w:eastAsia="Microsoft YaHei"/>
          <w:b w:val="0"/>
          <w:i w:val="0"/>
          <w:color w:val="1C2A3D"/>
          <w:sz w:val="22"/>
        </w:rPr>
        <w:t>Empat inovasi fundamental membedakan KNBMP: Pentagon Kedaulatan (sistem governance 5 KPA masing-masing 20% suara), 7-Tier Membership (dari Petani gratis hingga KORNAS), Model Bisnis Terintegrasi (6 unit usaha dalam satu ekosistem), dan Doktrin Invisible Dues (semua iuran otomatis via platform, tidak ada penagihan manual). Hasil yang diharapkan pada 2045: 10 juta anggota aktif, 83.763 desa terintegrasi, Rp 2.000 triliun nilai transaksi, setara Mondragon Corporation sebagai koperasi terbesar di dunia.</w:t>
      </w:r>
    </w:p>
    <w:p>
      <w:pPr>
        <w:pStyle w:val="Heading1"/>
      </w:pPr>
      <w:r>
        <w:rPr>
          <w:rFonts w:ascii="SimHei" w:hAnsi="SimHei" w:eastAsia="SimHei"/>
          <w:color w:val="0F2027"/>
        </w:rPr>
        <w:t>BAGIAN II: LATAR BELAKANG DAN PROBLEMATIKA</w:t>
      </w:r>
    </w:p>
    <w:p>
      <w:pPr>
        <w:pStyle w:val="Heading1"/>
      </w:pPr>
      <w:r>
        <w:rPr>
          <w:rFonts w:ascii="SimHei" w:hAnsi="SimHei" w:eastAsia="SimHei"/>
          <w:color w:val="0F2027"/>
        </w:rPr>
        <w:t>2.1 Kondisi Ekonomi Rakyat Indonesia</w:t>
      </w:r>
    </w:p>
    <w:p>
      <w:pPr>
        <w:spacing w:line="360" w:lineRule="exact"/>
        <w:ind w:firstLine="420"/>
      </w:pPr>
      <w:r>
        <w:rPr>
          <w:rFonts w:ascii="Microsoft YaHei" w:hAnsi="Microsoft YaHei" w:eastAsia="Microsoft YaHei"/>
          <w:b w:val="0"/>
          <w:i w:val="0"/>
          <w:color w:val="1C2A3D"/>
          <w:sz w:val="22"/>
        </w:rPr>
        <w:t>Indonesia berdiri di persimpangan sejarah. Dengan populasi 278 juta jiwa, PDB $1,3 triliun, dan pertumbuhan ekonomi sekitar 5% per tahun, Indonesia adalah ekonomi terbesar di Asia Tenggara. Namun angka-angka makro ini menyembunyikan realitas yang lebih gelap: kemakmuran tidak merata, akses tidak setara, dan kesempatan tidak tersedia bagi semua. Penduduk miskin masih mencapai 26 juta orang (9,4%), dengan 8 juta di antaranya berada dalam kemiskinan ekstrem. Lebih dari 50 juta orang berada dalam kategori rentan miskin — satu guncangan ekonomi saja cukup untuk menenggelamkan mereka. Gini ratio 0,38 yang terus meningkat menunjukkan bahwa kesenjangan semakin melebar, bukan menyempit.</w:t>
      </w:r>
    </w:p>
    <w:p>
      <w:pPr>
        <w:spacing w:line="360" w:lineRule="exact"/>
        <w:ind w:firstLine="420"/>
      </w:pPr>
      <w:r>
        <w:rPr>
          <w:rFonts w:ascii="Microsoft YaHei" w:hAnsi="Microsoft YaHei" w:eastAsia="Microsoft YaHei"/>
          <w:b w:val="0"/>
          <w:i w:val="0"/>
          <w:color w:val="1C2A3D"/>
          <w:sz w:val="22"/>
        </w:rPr>
      </w:r>
    </w:p>
    <w:tbl>
      <w:tblPr>
        <w:tblW w:type="auto" w:w="0"/>
        <w:jc w:val="center"/>
        <w:tblLook w:firstColumn="1" w:firstRow="1" w:lastColumn="0" w:lastRow="0" w:noHBand="0" w:noVBand="1" w:val="04A0"/>
      </w:tblPr>
      <w:tblGrid>
        <w:gridCol w:w="2929"/>
        <w:gridCol w:w="2929"/>
        <w:gridCol w:w="2929"/>
      </w:tblGrid>
      <w:tr>
        <w:tc>
          <w:tcPr>
            <w:tcW w:type="dxa" w:w="2929"/>
            <w:shd w:fill="0F2027" w:val="clear"/>
          </w:tcPr>
          <w:p>
            <w:r/>
            <w:r>
              <w:rPr>
                <w:rFonts w:ascii="Microsoft YaHei" w:hAnsi="Microsoft YaHei" w:eastAsia="Microsoft YaHei"/>
                <w:b/>
                <w:color w:val="FFFFFF"/>
                <w:sz w:val="20"/>
              </w:rPr>
              <w:t>Indikator</w:t>
            </w:r>
          </w:p>
        </w:tc>
        <w:tc>
          <w:tcPr>
            <w:tcW w:type="dxa" w:w="2929"/>
            <w:shd w:fill="0F2027" w:val="clear"/>
          </w:tcPr>
          <w:p>
            <w:r/>
            <w:r>
              <w:rPr>
                <w:rFonts w:ascii="Microsoft YaHei" w:hAnsi="Microsoft YaHei" w:eastAsia="Microsoft YaHei"/>
                <w:b/>
                <w:color w:val="FFFFFF"/>
                <w:sz w:val="20"/>
              </w:rPr>
              <w:t>Nilai</w:t>
            </w:r>
          </w:p>
        </w:tc>
        <w:tc>
          <w:tcPr>
            <w:tcW w:type="dxa" w:w="2929"/>
            <w:shd w:fill="0F2027" w:val="clear"/>
          </w:tcPr>
          <w:p>
            <w:r/>
            <w:r>
              <w:rPr>
                <w:rFonts w:ascii="Microsoft YaHei" w:hAnsi="Microsoft YaHei" w:eastAsia="Microsoft YaHei"/>
                <w:b/>
                <w:color w:val="FFFFFF"/>
                <w:sz w:val="20"/>
              </w:rPr>
              <w:t>Implikasi</w:t>
            </w:r>
          </w:p>
        </w:tc>
      </w:tr>
      <w:tr>
        <w:tc>
          <w:tcPr>
            <w:tcW w:type="dxa" w:w="2929"/>
            <w:shd w:fill="F5F7FA" w:val="clear"/>
          </w:tcPr>
          <w:p>
            <w:r/>
            <w:r>
              <w:rPr>
                <w:rFonts w:ascii="Microsoft YaHei" w:hAnsi="Microsoft YaHei" w:eastAsia="Microsoft YaHei"/>
                <w:sz w:val="20"/>
              </w:rPr>
              <w:t>Penduduk miskin</w:t>
            </w:r>
          </w:p>
        </w:tc>
        <w:tc>
          <w:tcPr>
            <w:tcW w:type="dxa" w:w="2929"/>
            <w:shd w:fill="F5F7FA" w:val="clear"/>
          </w:tcPr>
          <w:p>
            <w:r/>
            <w:r>
              <w:rPr>
                <w:rFonts w:ascii="Microsoft YaHei" w:hAnsi="Microsoft YaHei" w:eastAsia="Microsoft YaHei"/>
                <w:sz w:val="20"/>
              </w:rPr>
              <w:t>~26 juta (9,4%)</w:t>
            </w:r>
          </w:p>
        </w:tc>
        <w:tc>
          <w:tcPr>
            <w:tcW w:type="dxa" w:w="2929"/>
            <w:shd w:fill="F5F7FA" w:val="clear"/>
          </w:tcPr>
          <w:p>
            <w:r/>
            <w:r>
              <w:rPr>
                <w:rFonts w:ascii="Microsoft YaHei" w:hAnsi="Microsoft YaHei" w:eastAsia="Microsoft YaHei"/>
                <w:sz w:val="20"/>
              </w:rPr>
              <w:t>Masih terlalu banyak yang hidup di bawah garis kemiskinan</w:t>
            </w:r>
          </w:p>
        </w:tc>
      </w:tr>
      <w:tr>
        <w:tc>
          <w:tcPr>
            <w:tcW w:type="dxa" w:w="2929"/>
          </w:tcPr>
          <w:p>
            <w:r/>
            <w:r>
              <w:rPr>
                <w:rFonts w:ascii="Microsoft YaHei" w:hAnsi="Microsoft YaHei" w:eastAsia="Microsoft YaHei"/>
                <w:sz w:val="20"/>
              </w:rPr>
              <w:t>Miskin ekstrem</w:t>
            </w:r>
          </w:p>
        </w:tc>
        <w:tc>
          <w:tcPr>
            <w:tcW w:type="dxa" w:w="2929"/>
          </w:tcPr>
          <w:p>
            <w:r/>
            <w:r>
              <w:rPr>
                <w:rFonts w:ascii="Microsoft YaHei" w:hAnsi="Microsoft YaHei" w:eastAsia="Microsoft YaHei"/>
                <w:sz w:val="20"/>
              </w:rPr>
              <w:t>~8 juta (2,9%)</w:t>
            </w:r>
          </w:p>
        </w:tc>
        <w:tc>
          <w:tcPr>
            <w:tcW w:type="dxa" w:w="2929"/>
          </w:tcPr>
          <w:p>
            <w:r/>
            <w:r>
              <w:rPr>
                <w:rFonts w:ascii="Microsoft YaHei" w:hAnsi="Microsoft YaHei" w:eastAsia="Microsoft YaHei"/>
                <w:sz w:val="20"/>
              </w:rPr>
              <w:t>Jutaan orang tidak bisa memenuhi kebutuhan dasar</w:t>
            </w:r>
          </w:p>
        </w:tc>
      </w:tr>
      <w:tr>
        <w:tc>
          <w:tcPr>
            <w:tcW w:type="dxa" w:w="2929"/>
            <w:shd w:fill="F5F7FA" w:val="clear"/>
          </w:tcPr>
          <w:p>
            <w:r/>
            <w:r>
              <w:rPr>
                <w:rFonts w:ascii="Microsoft YaHei" w:hAnsi="Microsoft YaHei" w:eastAsia="Microsoft YaHei"/>
                <w:sz w:val="20"/>
              </w:rPr>
              <w:t>Rentan miskin</w:t>
            </w:r>
          </w:p>
        </w:tc>
        <w:tc>
          <w:tcPr>
            <w:tcW w:type="dxa" w:w="2929"/>
            <w:shd w:fill="F5F7FA" w:val="clear"/>
          </w:tcPr>
          <w:p>
            <w:r/>
            <w:r>
              <w:rPr>
                <w:rFonts w:ascii="Microsoft YaHei" w:hAnsi="Microsoft YaHei" w:eastAsia="Microsoft YaHei"/>
                <w:sz w:val="20"/>
              </w:rPr>
              <w:t>~50 juta</w:t>
            </w:r>
          </w:p>
        </w:tc>
        <w:tc>
          <w:tcPr>
            <w:tcW w:type="dxa" w:w="2929"/>
            <w:shd w:fill="F5F7FA" w:val="clear"/>
          </w:tcPr>
          <w:p>
            <w:r/>
            <w:r>
              <w:rPr>
                <w:rFonts w:ascii="Microsoft YaHei" w:hAnsi="Microsoft YaHei" w:eastAsia="Microsoft YaHei"/>
                <w:sz w:val="20"/>
              </w:rPr>
              <w:t>Satu guncangan bisa menenggelamkan mereka</w:t>
            </w:r>
          </w:p>
        </w:tc>
      </w:tr>
      <w:tr>
        <w:tc>
          <w:tcPr>
            <w:tcW w:type="dxa" w:w="2929"/>
          </w:tcPr>
          <w:p>
            <w:r/>
            <w:r>
              <w:rPr>
                <w:rFonts w:ascii="Microsoft YaHei" w:hAnsi="Microsoft YaHei" w:eastAsia="Microsoft YaHei"/>
                <w:sz w:val="20"/>
              </w:rPr>
              <w:t>Gini ratio</w:t>
            </w:r>
          </w:p>
        </w:tc>
        <w:tc>
          <w:tcPr>
            <w:tcW w:type="dxa" w:w="2929"/>
          </w:tcPr>
          <w:p>
            <w:r/>
            <w:r>
              <w:rPr>
                <w:rFonts w:ascii="Microsoft YaHei" w:hAnsi="Microsoft YaHei" w:eastAsia="Microsoft YaHei"/>
                <w:sz w:val="20"/>
              </w:rPr>
              <w:t>0,38 (meningkat)</w:t>
            </w:r>
          </w:p>
        </w:tc>
        <w:tc>
          <w:tcPr>
            <w:tcW w:type="dxa" w:w="2929"/>
          </w:tcPr>
          <w:p>
            <w:r/>
            <w:r>
              <w:rPr>
                <w:rFonts w:ascii="Microsoft YaHei" w:hAnsi="Microsoft YaHei" w:eastAsia="Microsoft YaHei"/>
                <w:sz w:val="20"/>
              </w:rPr>
              <w:t>Kesenjangan semakin melebar</w:t>
            </w:r>
          </w:p>
        </w:tc>
      </w:tr>
      <w:tr>
        <w:tc>
          <w:tcPr>
            <w:tcW w:type="dxa" w:w="2929"/>
            <w:shd w:fill="F5F7FA" w:val="clear"/>
          </w:tcPr>
          <w:p>
            <w:r/>
            <w:r>
              <w:rPr>
                <w:rFonts w:ascii="Microsoft YaHei" w:hAnsi="Microsoft YaHei" w:eastAsia="Microsoft YaHei"/>
                <w:sz w:val="20"/>
              </w:rPr>
              <w:t>UMKM</w:t>
            </w:r>
          </w:p>
        </w:tc>
        <w:tc>
          <w:tcPr>
            <w:tcW w:type="dxa" w:w="2929"/>
            <w:shd w:fill="F5F7FA" w:val="clear"/>
          </w:tcPr>
          <w:p>
            <w:r/>
            <w:r>
              <w:rPr>
                <w:rFonts w:ascii="Microsoft YaHei" w:hAnsi="Microsoft YaHei" w:eastAsia="Microsoft YaHei"/>
                <w:sz w:val="20"/>
              </w:rPr>
              <w:t>64,2 juta unit</w:t>
            </w:r>
          </w:p>
        </w:tc>
        <w:tc>
          <w:tcPr>
            <w:tcW w:type="dxa" w:w="2929"/>
            <w:shd w:fill="F5F7FA" w:val="clear"/>
          </w:tcPr>
          <w:p>
            <w:r/>
            <w:r>
              <w:rPr>
                <w:rFonts w:ascii="Microsoft YaHei" w:hAnsi="Microsoft YaHei" w:eastAsia="Microsoft YaHei"/>
                <w:sz w:val="20"/>
              </w:rPr>
              <w:t>Tulang punggung ekonomi, tapi 80%+ gagal dalam 5 tahun</w:t>
            </w:r>
          </w:p>
        </w:tc>
      </w:tr>
      <w:tr>
        <w:tc>
          <w:tcPr>
            <w:tcW w:type="dxa" w:w="2929"/>
          </w:tcPr>
          <w:p>
            <w:r/>
            <w:r>
              <w:rPr>
                <w:rFonts w:ascii="Microsoft YaHei" w:hAnsi="Microsoft YaHei" w:eastAsia="Microsoft YaHei"/>
                <w:sz w:val="20"/>
              </w:rPr>
              <w:t>Unbanked</w:t>
            </w:r>
          </w:p>
        </w:tc>
        <w:tc>
          <w:tcPr>
            <w:tcW w:type="dxa" w:w="2929"/>
          </w:tcPr>
          <w:p>
            <w:r/>
            <w:r>
              <w:rPr>
                <w:rFonts w:ascii="Microsoft YaHei" w:hAnsi="Microsoft YaHei" w:eastAsia="Microsoft YaHei"/>
                <w:sz w:val="20"/>
              </w:rPr>
              <w:t>~97 juta</w:t>
            </w:r>
          </w:p>
        </w:tc>
        <w:tc>
          <w:tcPr>
            <w:tcW w:type="dxa" w:w="2929"/>
          </w:tcPr>
          <w:p>
            <w:r/>
            <w:r>
              <w:rPr>
                <w:rFonts w:ascii="Microsoft YaHei" w:hAnsi="Microsoft YaHei" w:eastAsia="Microsoft YaHei"/>
                <w:sz w:val="20"/>
              </w:rPr>
              <w:t>Akses keuangan formal masih jauh dari merata</w:t>
            </w:r>
          </w:p>
        </w:tc>
      </w:tr>
      <w:tr>
        <w:tc>
          <w:tcPr>
            <w:tcW w:type="dxa" w:w="2929"/>
            <w:shd w:fill="F5F7FA" w:val="clear"/>
          </w:tcPr>
          <w:p>
            <w:r/>
            <w:r>
              <w:rPr>
                <w:rFonts w:ascii="Microsoft YaHei" w:hAnsi="Microsoft YaHei" w:eastAsia="Microsoft YaHei"/>
                <w:sz w:val="20"/>
              </w:rPr>
              <w:t>Desa tertinggal</w:t>
            </w:r>
          </w:p>
        </w:tc>
        <w:tc>
          <w:tcPr>
            <w:tcW w:type="dxa" w:w="2929"/>
            <w:shd w:fill="F5F7FA" w:val="clear"/>
          </w:tcPr>
          <w:p>
            <w:r/>
            <w:r>
              <w:rPr>
                <w:rFonts w:ascii="Microsoft YaHei" w:hAnsi="Microsoft YaHei" w:eastAsia="Microsoft YaHei"/>
                <w:sz w:val="20"/>
              </w:rPr>
              <w:t>~17.500</w:t>
            </w:r>
          </w:p>
        </w:tc>
        <w:tc>
          <w:tcPr>
            <w:tcW w:type="dxa" w:w="2929"/>
            <w:shd w:fill="F5F7FA" w:val="clear"/>
          </w:tcPr>
          <w:p>
            <w:r/>
            <w:r>
              <w:rPr>
                <w:rFonts w:ascii="Microsoft YaHei" w:hAnsi="Microsoft YaHei" w:eastAsia="Microsoft YaHei"/>
                <w:sz w:val="20"/>
              </w:rPr>
              <w:t>Infrastruktur ekonomi belum memadai</w:t>
            </w:r>
          </w:p>
        </w:tc>
      </w:tr>
      <w:tr>
        <w:tc>
          <w:tcPr>
            <w:tcW w:type="dxa" w:w="2929"/>
          </w:tcPr>
          <w:p>
            <w:r/>
            <w:r>
              <w:rPr>
                <w:rFonts w:ascii="Microsoft YaHei" w:hAnsi="Microsoft YaHei" w:eastAsia="Microsoft YaHei"/>
                <w:sz w:val="20"/>
              </w:rPr>
              <w:t>Dana Desa 2026</w:t>
            </w:r>
          </w:p>
        </w:tc>
        <w:tc>
          <w:tcPr>
            <w:tcW w:type="dxa" w:w="2929"/>
          </w:tcPr>
          <w:p>
            <w:r/>
            <w:r>
              <w:rPr>
                <w:rFonts w:ascii="Microsoft YaHei" w:hAnsi="Microsoft YaHei" w:eastAsia="Microsoft YaHei"/>
                <w:sz w:val="20"/>
              </w:rPr>
              <w:t>Rp 60,6 triliun</w:t>
            </w:r>
          </w:p>
        </w:tc>
        <w:tc>
          <w:tcPr>
            <w:tcW w:type="dxa" w:w="2929"/>
          </w:tcPr>
          <w:p>
            <w:r/>
            <w:r>
              <w:rPr>
                <w:rFonts w:ascii="Microsoft YaHei" w:hAnsi="Microsoft YaHei" w:eastAsia="Microsoft YaHei"/>
                <w:sz w:val="20"/>
              </w:rPr>
              <w:t>Potensi besar, pemanfaatan belum optimal</w:t>
            </w:r>
          </w:p>
        </w:tc>
      </w:tr>
    </w:tbl>
    <w:p>
      <w:pPr>
        <w:spacing w:line="360" w:lineRule="exact"/>
        <w:ind w:firstLine="420"/>
      </w:pPr>
      <w:r>
        <w:rPr>
          <w:rFonts w:ascii="Microsoft YaHei" w:hAnsi="Microsoft YaHei" w:eastAsia="Microsoft YaHei"/>
          <w:b w:val="0"/>
          <w:i w:val="0"/>
          <w:color w:val="1C2A3D"/>
          <w:sz w:val="22"/>
        </w:rPr>
      </w:r>
    </w:p>
    <w:p>
      <w:pPr>
        <w:spacing w:line="360" w:lineRule="exact"/>
        <w:ind w:firstLine="420"/>
      </w:pPr>
      <w:r>
        <w:rPr>
          <w:rFonts w:ascii="Microsoft YaHei" w:hAnsi="Microsoft YaHei" w:eastAsia="Microsoft YaHei"/>
          <w:b w:val="0"/>
          <w:i w:val="0"/>
          <w:color w:val="1C2A3D"/>
          <w:sz w:val="22"/>
        </w:rPr>
        <w:t>Data ini menggambarkan bukan hanya masalah tetapi peluang. Dimana ada masalah besar, ada pasar besar. Dimana ada kegagalan sistem, ada ruang untuk inovasi. Dan dimana ada jutaan orang yang tidak terlayani, ada peluang untuk membangun ekosistem yang melayani mereka. UMKM menyumbang 61% PDB dan 97% penyerapan tenaga kerja, namun akses pembiayaan mereka kurang dari 30%. Ini berarti 70% potensi ekonomi rakyat belum dioptimalkan — dan KNBMP hadir untuk membuka potensi itu.</w:t>
      </w:r>
    </w:p>
    <w:p>
      <w:pPr>
        <w:pStyle w:val="Heading1"/>
      </w:pPr>
      <w:r>
        <w:rPr>
          <w:rFonts w:ascii="SimHei" w:hAnsi="SimHei" w:eastAsia="SimHei"/>
          <w:color w:val="0F2027"/>
        </w:rPr>
        <w:t>2.2 Keterbatasan Model Eksisting</w:t>
      </w:r>
    </w:p>
    <w:p>
      <w:pPr>
        <w:spacing w:line="360" w:lineRule="exact"/>
        <w:ind w:firstLine="420"/>
      </w:pPr>
      <w:r>
        <w:rPr>
          <w:rFonts w:ascii="Microsoft YaHei" w:hAnsi="Microsoft YaHei" w:eastAsia="Microsoft YaHei"/>
          <w:b w:val="0"/>
          <w:i w:val="0"/>
          <w:color w:val="1C2A3D"/>
          <w:sz w:val="22"/>
        </w:rPr>
        <w:t>KUD Tradisional: Dari sekitar 22.000 KUD yang terdaftar, banyak yang tidak aktif atau beroperasi sebagai "koperasi zombie" — ada di atas kertas tapi tidak memberikan manfaat nyata. Penyebab: model bisnis tidak adaptif, tidak digital-native, tidak terintegrasi. Setiap KUD mandiri tanpa koneksi ke KUD lain, tanpa akses ke pasar yang lebih luas. Platform Digital Eksisting: Marketplace seperti Tokopedia, Shopee telah mendemokratisasi akses pasar, tetapi dirancang untuk individu bukan komunitas. Mereka tidak menawarkan governance demokratis, tidak menjamin keadilan ekonomi, dan tidak memberdayakan secara kolektif. Program Pemerintah: Program seperti Dana Desa, KUR, dan KDMP memiliki niat baik dan anggaran besar, tetapi terfragmentasi lintas kementerian. Kemendesa mengelola SID, Kemendagri mengelola Prodeskel, BPKP mengelola Siskeudes, Kemenkop mengelola KDMP Portal — semuanya berjalan sendiri-sendiri, data tidak terintegrasi, program tidak bersinergi.</w:t>
      </w:r>
    </w:p>
    <w:p>
      <w:pPr>
        <w:pStyle w:val="Heading1"/>
      </w:pPr>
      <w:r>
        <w:rPr>
          <w:rFonts w:ascii="SimHei" w:hAnsi="SimHei" w:eastAsia="SimHei"/>
          <w:color w:val="0F2027"/>
        </w:rPr>
        <w:t>2.3 Kebutuhan akan Model Baru</w:t>
      </w:r>
    </w:p>
    <w:p>
      <w:pPr>
        <w:spacing w:line="360" w:lineRule="exact"/>
        <w:ind w:firstLine="420"/>
      </w:pPr>
      <w:r>
        <w:rPr>
          <w:rFonts w:ascii="Microsoft YaHei" w:hAnsi="Microsoft YaHei" w:eastAsia="Microsoft YaHei"/>
          <w:b w:val="0"/>
          <w:i w:val="0"/>
          <w:color w:val="1C2A3D"/>
          <w:sz w:val="22"/>
        </w:rPr>
        <w:t>Model baru diperlukan karena masalah bersifat sistemik — tidak bisa dipecahkan satu lembaga, satu program, atau satu teknologi. Yang dibutuhkan adalah ekosistem yang mengintegrasikan semuanya: koperasi untuk governance demokratis, korporasi untuk efisiensi dan skala, teknologi digital untuk konektivitas, kearifan lokal untuk legitimasi, dan visi peradaban untuk keberlanjutan. Model baru ini harus menjawab: bagaimana memberdayakan yang lemah tanpa menciptakan ketergantungan, bagaimana menarik modal tanpa menyerahkan kedaulatan, dan bagaimana mencapai skala tanpa kehilangan jiwa. KNBMP menjawab ketiga pertanyaan ini: melalui sistem 7-Tier yang dirancang untuk kemandirian, melalui Pentagon Kedaulatan yang melindungi dari oligarki, dan melalui model dual-entitas yang memisahkan strategi dari operasi agar keduanya bisa berfungsi optimal.</w:t>
      </w:r>
    </w:p>
    <w:p>
      <w:pPr>
        <w:pStyle w:val="Heading1"/>
      </w:pPr>
      <w:r>
        <w:rPr>
          <w:rFonts w:ascii="SimHei" w:hAnsi="SimHei" w:eastAsia="SimHei"/>
          <w:color w:val="0F2027"/>
        </w:rPr>
        <w:t>BAGIAN III: MODEL KNBMP</w:t>
      </w:r>
    </w:p>
    <w:p>
      <w:pPr>
        <w:pStyle w:val="Heading1"/>
      </w:pPr>
      <w:r>
        <w:rPr>
          <w:rFonts w:ascii="SimHei" w:hAnsi="SimHei" w:eastAsia="SimHei"/>
          <w:color w:val="0F2027"/>
        </w:rPr>
        <w:t>3.1 Definisi dan Konsep</w:t>
      </w:r>
    </w:p>
    <w:p>
      <w:pPr>
        <w:spacing w:line="360" w:lineRule="exact"/>
        <w:ind w:firstLine="420"/>
      </w:pPr>
      <w:r>
        <w:rPr>
          <w:rFonts w:ascii="Microsoft YaHei" w:hAnsi="Microsoft YaHei" w:eastAsia="Microsoft YaHei"/>
          <w:b w:val="0"/>
          <w:i w:val="0"/>
          <w:color w:val="1C2A3D"/>
          <w:sz w:val="22"/>
        </w:rPr>
        <w:t>KNBMP adalah Koperasi Serba Usaha (KSU) berbasis keanggotaan multipihak yang beroperasi sebagai Digital Operating System untuk desa Indonesia. Ia bukan sekadar koperasi — ia adalah ekosistem terintegrasi yang menggabungkan marketplace, logistik, fintech, pendidikan, dan perdagangan internasional dalam satu platform. Yang membuat KNBMP unik adalah arsitektur dual-entitasnya: JE-P3 (Asosiasi Jaringan Ekonomi Penggerak Pembangunan Partisipatif) mengelola strategi dan intelektual property, sementara KNMP (Koperasi Nusantara Merah Putih) mengelola operasi dan distribusi manfaat — dipisahkan secara hukum tapi disatukan oleh visi. Joint Strategic Committee (JSC) dengan 12 anggota dan pertemuan triwulanan memastikan keselarasan kedua entitas. Model ini bisa berhasil karena menggabungkan kekuatan koperasi (demokrasi, keadilan) dengan kekuatan korporasi (efisiensi, skala), menggunakan teknologi sebagai penghubung bukan pengganti, dan dirancang dari bawah berdasarkan kebutuhan riil petani, nelayan, dan UMKM.</w:t>
      </w:r>
    </w:p>
    <w:p>
      <w:pPr>
        <w:pStyle w:val="Heading1"/>
      </w:pPr>
      <w:r>
        <w:rPr>
          <w:rFonts w:ascii="SimHei" w:hAnsi="SimHei" w:eastAsia="SimHei"/>
          <w:color w:val="0F2027"/>
        </w:rPr>
        <w:t>3.2 Arsitektur Ekosistem</w:t>
      </w:r>
    </w:p>
    <w:p>
      <w:pPr>
        <w:spacing w:line="360" w:lineRule="exact"/>
        <w:ind w:firstLine="420"/>
      </w:pPr>
      <w:r>
        <w:rPr>
          <w:rFonts w:ascii="Microsoft YaHei" w:hAnsi="Microsoft YaHei" w:eastAsia="Microsoft YaHei"/>
          <w:b w:val="0"/>
          <w:i w:val="0"/>
          <w:color w:val="1C2A3D"/>
          <w:sz w:val="22"/>
        </w:rPr>
        <w:t>Arsitektur KNBMP terdiri dari enam komponen utama yang saling terhubung dan saling memperkuat. Marketplace Zonasi adalah platform B2B/B2C dengan 8 zona produksi (Agrikultur, Retail UMKM, Digital, Kesehatan, Spiritual, Ekspor, Energi, Logistik) menghubungkan 56.650+ produk aktif dari 125.000+ penjual di 38 provinsi, dengan target transaksi Rp 2,5 triliun per bulan pada skala penuh. Logistik Digital adalah jaringan agen logistik multi-ekspedisi yang menjangkau 83.763 desa, bermitra dengan JNE, J&amp;T Express, SiCepat, AnterAja, Pos Indonesia, dan Ninja Express, menjamin distribusi hulu ke hilir termasuk cold chain. JP3 Pay adalah dompet digital dan fintech internal yang memungkinkan pembayaran, simpanan, dan pemotongan iuran otomatis sesuai Doktrin Invisible Dues, terintegrasi dengan bank mitra BRI dan Mandiri. JE-P3 Academy adalah platform pelatihan digital tiga level (Literasi, Bisnis, Ekspor) mencakup manajemen koperasi, keuangan digital, dan strategi penetrasi pasar internasional. Haji dan Umroh menyediakan layanan perjalanan ibadah untuk semua keyakinan. Carbon Credits dan Energi Terbarukan mengonversi praktik berkelanjutan menjadi aset ekonomi. Setiap komponen memperkuat yang lain: marketplace butuh logistik, logistik butuh pembayaran digital, semuanya butuh data — dan semuanya ada dalam satu ekosistem.</w:t>
      </w:r>
    </w:p>
    <w:p>
      <w:pPr>
        <w:pStyle w:val="Heading1"/>
      </w:pPr>
      <w:r>
        <w:rPr>
          <w:rFonts w:ascii="SimHei" w:hAnsi="SimHei" w:eastAsia="SimHei"/>
          <w:color w:val="0F2027"/>
        </w:rPr>
        <w:t>3.3 Struktur Organisasi: Pentagon Kedaulatan dan 7-Tier System</w:t>
      </w:r>
    </w:p>
    <w:p>
      <w:pPr>
        <w:spacing w:line="360" w:lineRule="exact"/>
        <w:ind w:firstLine="420"/>
      </w:pPr>
      <w:r>
        <w:rPr>
          <w:rFonts w:ascii="Microsoft YaHei" w:hAnsi="Microsoft YaHei" w:eastAsia="Microsoft YaHei"/>
          <w:b w:val="0"/>
          <w:i w:val="0"/>
          <w:color w:val="1C2A3D"/>
          <w:sz w:val="22"/>
        </w:rPr>
        <w:t>Pentagon Kedaulatan adalah inovasi governance yang membagi kekuasaan suara secara merata ke lima Kelompok Pihak Anggota (KPA), masing-masing dengan 20% proporsi suara dalam RAT. KPA-1 Produsen dan Pekerja (45.000 anggota awal) adalah pencipta nilai: petani, nelayan, peternak, pengrajin, kurir ekosistem, kader digital. KPA-2 Konsumen Umum (50.000 anggota) adalah mesin permintaan: warga, pengguna JP3 Pay, pembeli marketplace, wisatawan. KPA-3 Abdi Negara (25.000 anggota) adalah jangkar stabilitas: PNS, ASN, TNI/Polri, pejabat publik — dengan klausul wajib netral, dilarang membawa atribut politik. KPA-4 Entitas Bisnis (80.000 anggota) adalah mesin B2B: PT, CV, BUMDes, koperasi primer. KPA-5 Pemodal dan Investor (500 anggota) adalah likuiditas berdaulat: angel investor, VC, bank pemerintah dan swasta.</w:t>
      </w:r>
    </w:p>
    <w:p>
      <w:pPr>
        <w:spacing w:line="360" w:lineRule="exact"/>
        <w:ind w:firstLine="420"/>
      </w:pPr>
      <w:r>
        <w:rPr>
          <w:rFonts w:ascii="Microsoft YaHei" w:hAnsi="Microsoft YaHei" w:eastAsia="Microsoft YaHei"/>
          <w:b w:val="0"/>
          <w:i w:val="0"/>
          <w:color w:val="1C2A3D"/>
          <w:sz w:val="22"/>
        </w:rPr>
      </w:r>
    </w:p>
    <w:tbl>
      <w:tblPr>
        <w:tblW w:type="auto" w:w="0"/>
        <w:jc w:val="center"/>
        <w:tblLook w:firstColumn="1" w:firstRow="1" w:lastColumn="0" w:lastRow="0" w:noHBand="0" w:noVBand="1" w:val="04A0"/>
      </w:tblPr>
      <w:tblGrid>
        <w:gridCol w:w="1758"/>
        <w:gridCol w:w="1758"/>
        <w:gridCol w:w="1758"/>
        <w:gridCol w:w="1758"/>
        <w:gridCol w:w="1758"/>
      </w:tblGrid>
      <w:tr>
        <w:tc>
          <w:tcPr>
            <w:tcW w:type="dxa" w:w="1758"/>
            <w:shd w:fill="0F2027" w:val="clear"/>
          </w:tcPr>
          <w:p>
            <w:r/>
            <w:r>
              <w:rPr>
                <w:rFonts w:ascii="Microsoft YaHei" w:hAnsi="Microsoft YaHei" w:eastAsia="Microsoft YaHei"/>
                <w:b/>
                <w:color w:val="FFFFFF"/>
                <w:sz w:val="20"/>
              </w:rPr>
              <w:t>KPA</w:t>
            </w:r>
          </w:p>
        </w:tc>
        <w:tc>
          <w:tcPr>
            <w:tcW w:type="dxa" w:w="1758"/>
            <w:shd w:fill="0F2027" w:val="clear"/>
          </w:tcPr>
          <w:p>
            <w:r/>
            <w:r>
              <w:rPr>
                <w:rFonts w:ascii="Microsoft YaHei" w:hAnsi="Microsoft YaHei" w:eastAsia="Microsoft YaHei"/>
                <w:b/>
                <w:color w:val="FFFFFF"/>
                <w:sz w:val="20"/>
              </w:rPr>
              <w:t>Nama</w:t>
            </w:r>
          </w:p>
        </w:tc>
        <w:tc>
          <w:tcPr>
            <w:tcW w:type="dxa" w:w="1758"/>
            <w:shd w:fill="0F2027" w:val="clear"/>
          </w:tcPr>
          <w:p>
            <w:r/>
            <w:r>
              <w:rPr>
                <w:rFonts w:ascii="Microsoft YaHei" w:hAnsi="Microsoft YaHei" w:eastAsia="Microsoft YaHei"/>
                <w:b/>
                <w:color w:val="FFFFFF"/>
                <w:sz w:val="20"/>
              </w:rPr>
              <w:t>Simpanan Pokok</w:t>
            </w:r>
          </w:p>
        </w:tc>
        <w:tc>
          <w:tcPr>
            <w:tcW w:type="dxa" w:w="1758"/>
            <w:shd w:fill="0F2027" w:val="clear"/>
          </w:tcPr>
          <w:p>
            <w:r/>
            <w:r>
              <w:rPr>
                <w:rFonts w:ascii="Microsoft YaHei" w:hAnsi="Microsoft YaHei" w:eastAsia="Microsoft YaHei"/>
                <w:b/>
                <w:color w:val="FFFFFF"/>
                <w:sz w:val="20"/>
              </w:rPr>
              <w:t>Simpanan Wajib/Bulan</w:t>
            </w:r>
          </w:p>
        </w:tc>
        <w:tc>
          <w:tcPr>
            <w:tcW w:type="dxa" w:w="1758"/>
            <w:shd w:fill="0F2027" w:val="clear"/>
          </w:tcPr>
          <w:p>
            <w:r/>
            <w:r>
              <w:rPr>
                <w:rFonts w:ascii="Microsoft YaHei" w:hAnsi="Microsoft YaHei" w:eastAsia="Microsoft YaHei"/>
                <w:b/>
                <w:color w:val="FFFFFF"/>
                <w:sz w:val="20"/>
              </w:rPr>
              <w:t>Proporsi Suara</w:t>
            </w:r>
          </w:p>
        </w:tc>
      </w:tr>
      <w:tr>
        <w:tc>
          <w:tcPr>
            <w:tcW w:type="dxa" w:w="1758"/>
            <w:shd w:fill="F5F7FA" w:val="clear"/>
          </w:tcPr>
          <w:p>
            <w:r/>
            <w:r>
              <w:rPr>
                <w:rFonts w:ascii="Microsoft YaHei" w:hAnsi="Microsoft YaHei" w:eastAsia="Microsoft YaHei"/>
                <w:sz w:val="20"/>
              </w:rPr>
              <w:t>KPA-1</w:t>
            </w:r>
          </w:p>
        </w:tc>
        <w:tc>
          <w:tcPr>
            <w:tcW w:type="dxa" w:w="1758"/>
            <w:shd w:fill="F5F7FA" w:val="clear"/>
          </w:tcPr>
          <w:p>
            <w:r/>
            <w:r>
              <w:rPr>
                <w:rFonts w:ascii="Microsoft YaHei" w:hAnsi="Microsoft YaHei" w:eastAsia="Microsoft YaHei"/>
                <w:sz w:val="20"/>
              </w:rPr>
              <w:t>Produsen &amp; Pekerja</w:t>
            </w:r>
          </w:p>
        </w:tc>
        <w:tc>
          <w:tcPr>
            <w:tcW w:type="dxa" w:w="1758"/>
            <w:shd w:fill="F5F7FA" w:val="clear"/>
          </w:tcPr>
          <w:p>
            <w:r/>
            <w:r>
              <w:rPr>
                <w:rFonts w:ascii="Microsoft YaHei" w:hAnsi="Microsoft YaHei" w:eastAsia="Microsoft YaHei"/>
                <w:sz w:val="20"/>
              </w:rPr>
              <w:t>Rp 100.000</w:t>
            </w:r>
          </w:p>
        </w:tc>
        <w:tc>
          <w:tcPr>
            <w:tcW w:type="dxa" w:w="1758"/>
            <w:shd w:fill="F5F7FA" w:val="clear"/>
          </w:tcPr>
          <w:p>
            <w:r/>
            <w:r>
              <w:rPr>
                <w:rFonts w:ascii="Microsoft YaHei" w:hAnsi="Microsoft YaHei" w:eastAsia="Microsoft YaHei"/>
                <w:sz w:val="20"/>
              </w:rPr>
              <w:t>Rp 50.000</w:t>
            </w:r>
          </w:p>
        </w:tc>
        <w:tc>
          <w:tcPr>
            <w:tcW w:type="dxa" w:w="1758"/>
            <w:shd w:fill="F5F7FA" w:val="clear"/>
          </w:tcPr>
          <w:p>
            <w:r/>
            <w:r>
              <w:rPr>
                <w:rFonts w:ascii="Microsoft YaHei" w:hAnsi="Microsoft YaHei" w:eastAsia="Microsoft YaHei"/>
                <w:sz w:val="20"/>
              </w:rPr>
              <w:t>20%</w:t>
            </w:r>
          </w:p>
        </w:tc>
      </w:tr>
      <w:tr>
        <w:tc>
          <w:tcPr>
            <w:tcW w:type="dxa" w:w="1758"/>
          </w:tcPr>
          <w:p>
            <w:r/>
            <w:r>
              <w:rPr>
                <w:rFonts w:ascii="Microsoft YaHei" w:hAnsi="Microsoft YaHei" w:eastAsia="Microsoft YaHei"/>
                <w:sz w:val="20"/>
              </w:rPr>
              <w:t>KPA-2</w:t>
            </w:r>
          </w:p>
        </w:tc>
        <w:tc>
          <w:tcPr>
            <w:tcW w:type="dxa" w:w="1758"/>
          </w:tcPr>
          <w:p>
            <w:r/>
            <w:r>
              <w:rPr>
                <w:rFonts w:ascii="Microsoft YaHei" w:hAnsi="Microsoft YaHei" w:eastAsia="Microsoft YaHei"/>
                <w:sz w:val="20"/>
              </w:rPr>
              <w:t>Konsumen Umum</w:t>
            </w:r>
          </w:p>
        </w:tc>
        <w:tc>
          <w:tcPr>
            <w:tcW w:type="dxa" w:w="1758"/>
          </w:tcPr>
          <w:p>
            <w:r/>
            <w:r>
              <w:rPr>
                <w:rFonts w:ascii="Microsoft YaHei" w:hAnsi="Microsoft YaHei" w:eastAsia="Microsoft YaHei"/>
                <w:sz w:val="20"/>
              </w:rPr>
              <w:t>Rp 100.000</w:t>
            </w:r>
          </w:p>
        </w:tc>
        <w:tc>
          <w:tcPr>
            <w:tcW w:type="dxa" w:w="1758"/>
          </w:tcPr>
          <w:p>
            <w:r/>
            <w:r>
              <w:rPr>
                <w:rFonts w:ascii="Microsoft YaHei" w:hAnsi="Microsoft YaHei" w:eastAsia="Microsoft YaHei"/>
                <w:sz w:val="20"/>
              </w:rPr>
              <w:t>Rp 50.000</w:t>
            </w:r>
          </w:p>
        </w:tc>
        <w:tc>
          <w:tcPr>
            <w:tcW w:type="dxa" w:w="1758"/>
          </w:tcPr>
          <w:p>
            <w:r/>
            <w:r>
              <w:rPr>
                <w:rFonts w:ascii="Microsoft YaHei" w:hAnsi="Microsoft YaHei" w:eastAsia="Microsoft YaHei"/>
                <w:sz w:val="20"/>
              </w:rPr>
              <w:t>20%</w:t>
            </w:r>
          </w:p>
        </w:tc>
      </w:tr>
      <w:tr>
        <w:tc>
          <w:tcPr>
            <w:tcW w:type="dxa" w:w="1758"/>
            <w:shd w:fill="F5F7FA" w:val="clear"/>
          </w:tcPr>
          <w:p>
            <w:r/>
            <w:r>
              <w:rPr>
                <w:rFonts w:ascii="Microsoft YaHei" w:hAnsi="Microsoft YaHei" w:eastAsia="Microsoft YaHei"/>
                <w:sz w:val="20"/>
              </w:rPr>
              <w:t>KPA-3</w:t>
            </w:r>
          </w:p>
        </w:tc>
        <w:tc>
          <w:tcPr>
            <w:tcW w:type="dxa" w:w="1758"/>
            <w:shd w:fill="F5F7FA" w:val="clear"/>
          </w:tcPr>
          <w:p>
            <w:r/>
            <w:r>
              <w:rPr>
                <w:rFonts w:ascii="Microsoft YaHei" w:hAnsi="Microsoft YaHei" w:eastAsia="Microsoft YaHei"/>
                <w:sz w:val="20"/>
              </w:rPr>
              <w:t>Abdi Negara</w:t>
            </w:r>
          </w:p>
        </w:tc>
        <w:tc>
          <w:tcPr>
            <w:tcW w:type="dxa" w:w="1758"/>
            <w:shd w:fill="F5F7FA" w:val="clear"/>
          </w:tcPr>
          <w:p>
            <w:r/>
            <w:r>
              <w:rPr>
                <w:rFonts w:ascii="Microsoft YaHei" w:hAnsi="Microsoft YaHei" w:eastAsia="Microsoft YaHei"/>
                <w:sz w:val="20"/>
              </w:rPr>
              <w:t>Rp 250.000</w:t>
            </w:r>
          </w:p>
        </w:tc>
        <w:tc>
          <w:tcPr>
            <w:tcW w:type="dxa" w:w="1758"/>
            <w:shd w:fill="F5F7FA" w:val="clear"/>
          </w:tcPr>
          <w:p>
            <w:r/>
            <w:r>
              <w:rPr>
                <w:rFonts w:ascii="Microsoft YaHei" w:hAnsi="Microsoft YaHei" w:eastAsia="Microsoft YaHei"/>
                <w:sz w:val="20"/>
              </w:rPr>
              <w:t>Rp 100.000</w:t>
            </w:r>
          </w:p>
        </w:tc>
        <w:tc>
          <w:tcPr>
            <w:tcW w:type="dxa" w:w="1758"/>
            <w:shd w:fill="F5F7FA" w:val="clear"/>
          </w:tcPr>
          <w:p>
            <w:r/>
            <w:r>
              <w:rPr>
                <w:rFonts w:ascii="Microsoft YaHei" w:hAnsi="Microsoft YaHei" w:eastAsia="Microsoft YaHei"/>
                <w:sz w:val="20"/>
              </w:rPr>
              <w:t>20%</w:t>
            </w:r>
          </w:p>
        </w:tc>
      </w:tr>
      <w:tr>
        <w:tc>
          <w:tcPr>
            <w:tcW w:type="dxa" w:w="1758"/>
          </w:tcPr>
          <w:p>
            <w:r/>
            <w:r>
              <w:rPr>
                <w:rFonts w:ascii="Microsoft YaHei" w:hAnsi="Microsoft YaHei" w:eastAsia="Microsoft YaHei"/>
                <w:sz w:val="20"/>
              </w:rPr>
              <w:t>KPA-4</w:t>
            </w:r>
          </w:p>
        </w:tc>
        <w:tc>
          <w:tcPr>
            <w:tcW w:type="dxa" w:w="1758"/>
          </w:tcPr>
          <w:p>
            <w:r/>
            <w:r>
              <w:rPr>
                <w:rFonts w:ascii="Microsoft YaHei" w:hAnsi="Microsoft YaHei" w:eastAsia="Microsoft YaHei"/>
                <w:sz w:val="20"/>
              </w:rPr>
              <w:t>Entitas Bisnis</w:t>
            </w:r>
          </w:p>
        </w:tc>
        <w:tc>
          <w:tcPr>
            <w:tcW w:type="dxa" w:w="1758"/>
          </w:tcPr>
          <w:p>
            <w:r/>
            <w:r>
              <w:rPr>
                <w:rFonts w:ascii="Microsoft YaHei" w:hAnsi="Microsoft YaHei" w:eastAsia="Microsoft YaHei"/>
                <w:sz w:val="20"/>
              </w:rPr>
              <w:t>Rp 5.000.000</w:t>
            </w:r>
          </w:p>
        </w:tc>
        <w:tc>
          <w:tcPr>
            <w:tcW w:type="dxa" w:w="1758"/>
          </w:tcPr>
          <w:p>
            <w:r/>
            <w:r>
              <w:rPr>
                <w:rFonts w:ascii="Microsoft YaHei" w:hAnsi="Microsoft YaHei" w:eastAsia="Microsoft YaHei"/>
                <w:sz w:val="20"/>
              </w:rPr>
              <w:t>Rp 1.000.000</w:t>
            </w:r>
          </w:p>
        </w:tc>
        <w:tc>
          <w:tcPr>
            <w:tcW w:type="dxa" w:w="1758"/>
          </w:tcPr>
          <w:p>
            <w:r/>
            <w:r>
              <w:rPr>
                <w:rFonts w:ascii="Microsoft YaHei" w:hAnsi="Microsoft YaHei" w:eastAsia="Microsoft YaHei"/>
                <w:sz w:val="20"/>
              </w:rPr>
              <w:t>20%</w:t>
            </w:r>
          </w:p>
        </w:tc>
      </w:tr>
      <w:tr>
        <w:tc>
          <w:tcPr>
            <w:tcW w:type="dxa" w:w="1758"/>
            <w:shd w:fill="F5F7FA" w:val="clear"/>
          </w:tcPr>
          <w:p>
            <w:r/>
            <w:r>
              <w:rPr>
                <w:rFonts w:ascii="Microsoft YaHei" w:hAnsi="Microsoft YaHei" w:eastAsia="Microsoft YaHei"/>
                <w:sz w:val="20"/>
              </w:rPr>
              <w:t>KPA-5</w:t>
            </w:r>
          </w:p>
        </w:tc>
        <w:tc>
          <w:tcPr>
            <w:tcW w:type="dxa" w:w="1758"/>
            <w:shd w:fill="F5F7FA" w:val="clear"/>
          </w:tcPr>
          <w:p>
            <w:r/>
            <w:r>
              <w:rPr>
                <w:rFonts w:ascii="Microsoft YaHei" w:hAnsi="Microsoft YaHei" w:eastAsia="Microsoft YaHei"/>
                <w:sz w:val="20"/>
              </w:rPr>
              <w:t>Pemodal &amp; Investor</w:t>
            </w:r>
          </w:p>
        </w:tc>
        <w:tc>
          <w:tcPr>
            <w:tcW w:type="dxa" w:w="1758"/>
            <w:shd w:fill="F5F7FA" w:val="clear"/>
          </w:tcPr>
          <w:p>
            <w:r/>
            <w:r>
              <w:rPr>
                <w:rFonts w:ascii="Microsoft YaHei" w:hAnsi="Microsoft YaHei" w:eastAsia="Microsoft YaHei"/>
                <w:sz w:val="20"/>
              </w:rPr>
              <w:t>Rp 50-250 juta</w:t>
            </w:r>
          </w:p>
        </w:tc>
        <w:tc>
          <w:tcPr>
            <w:tcW w:type="dxa" w:w="1758"/>
            <w:shd w:fill="F5F7FA" w:val="clear"/>
          </w:tcPr>
          <w:p>
            <w:r/>
            <w:r>
              <w:rPr>
                <w:rFonts w:ascii="Microsoft YaHei" w:hAnsi="Microsoft YaHei" w:eastAsia="Microsoft YaHei"/>
                <w:sz w:val="20"/>
              </w:rPr>
              <w:t>Rp 1.000.000</w:t>
            </w:r>
          </w:p>
        </w:tc>
        <w:tc>
          <w:tcPr>
            <w:tcW w:type="dxa" w:w="1758"/>
            <w:shd w:fill="F5F7FA" w:val="clear"/>
          </w:tcPr>
          <w:p>
            <w:r/>
            <w:r>
              <w:rPr>
                <w:rFonts w:ascii="Microsoft YaHei" w:hAnsi="Microsoft YaHei" w:eastAsia="Microsoft YaHei"/>
                <w:sz w:val="20"/>
              </w:rPr>
              <w:t>20%</w:t>
            </w:r>
          </w:p>
        </w:tc>
      </w:tr>
    </w:tbl>
    <w:p>
      <w:pPr>
        <w:spacing w:line="360" w:lineRule="exact"/>
        <w:ind w:firstLine="420"/>
      </w:pPr>
      <w:r>
        <w:rPr>
          <w:rFonts w:ascii="Microsoft YaHei" w:hAnsi="Microsoft YaHei" w:eastAsia="Microsoft YaHei"/>
          <w:b w:val="0"/>
          <w:i w:val="0"/>
          <w:color w:val="1C2A3D"/>
          <w:sz w:val="22"/>
        </w:rPr>
      </w:r>
    </w:p>
    <w:p>
      <w:pPr>
        <w:spacing w:line="360" w:lineRule="exact"/>
        <w:ind w:firstLine="420"/>
      </w:pPr>
      <w:r>
        <w:rPr>
          <w:rFonts w:ascii="Microsoft YaHei" w:hAnsi="Microsoft YaHei" w:eastAsia="Microsoft YaHei"/>
          <w:b w:val="0"/>
          <w:i w:val="0"/>
          <w:color w:val="1C2A3D"/>
          <w:sz w:val="22"/>
        </w:rPr>
        <w:t>Threshold Keputusan: Keputusan biasa memerlukan 60% suara dari minimal 3 KPA. Perubahan AD/ART memerlukan 80% dari minimal 4 KPA. Likuidasi memerlukan 80-100% dari 4-5 KPA. Mekanisme ini menjamin tidak ada satu KPA pun yang bisa mendominasi. Anti-Oligarchy Doctrine (ART Pasal 7): One Member One Vote untuk semua KPA termasuk investor, tidak ada hak veto untuk KPA-5, tidak ada side-deals. KYC/AML (ART Pasal 8): screening wajib untuk investor, verifikasi sumber dana. Lock-up Period (ART Pasal 9): minimum 24 bulan kunci pada Simpanan Pokok, penarikan memerlukan pemberitahuan 6 bulan. Escrow Mandatory (ART Pasal 10): dana investasi via Kampung Modal HARUS masuk Escrow Account, audit independen, perlindungan anti-bank rush.</w:t>
      </w:r>
    </w:p>
    <w:p>
      <w:pPr>
        <w:spacing w:line="360" w:lineRule="exact"/>
        <w:ind w:firstLine="420"/>
      </w:pPr>
      <w:r>
        <w:rPr>
          <w:rFonts w:ascii="Microsoft YaHei" w:hAnsi="Microsoft YaHei" w:eastAsia="Microsoft YaHei"/>
          <w:b w:val="0"/>
          <w:i w:val="0"/>
          <w:color w:val="1C2A3D"/>
          <w:sz w:val="22"/>
        </w:rPr>
      </w:r>
    </w:p>
    <w:p>
      <w:pPr>
        <w:spacing w:line="360" w:lineRule="exact"/>
        <w:ind w:firstLine="420"/>
      </w:pPr>
      <w:r>
        <w:rPr>
          <w:rFonts w:ascii="Microsoft YaHei" w:hAnsi="Microsoft YaHei" w:eastAsia="Microsoft YaHei"/>
          <w:b w:val="0"/>
          <w:i w:val="0"/>
          <w:color w:val="1C2A3D"/>
          <w:sz w:val="22"/>
        </w:rPr>
        <w:t>7-Tier Membership System memberikan jalur masuk terstruktur:</w:t>
      </w:r>
    </w:p>
    <w:p>
      <w:pPr>
        <w:spacing w:line="360" w:lineRule="exact"/>
        <w:ind w:firstLine="420"/>
      </w:pPr>
      <w:r>
        <w:rPr>
          <w:rFonts w:ascii="Microsoft YaHei" w:hAnsi="Microsoft YaHei" w:eastAsia="Microsoft YaHei"/>
          <w:b w:val="0"/>
          <w:i w:val="0"/>
          <w:color w:val="1C2A3D"/>
          <w:sz w:val="22"/>
        </w:rPr>
      </w:r>
    </w:p>
    <w:tbl>
      <w:tblPr>
        <w:tblW w:type="auto" w:w="0"/>
        <w:jc w:val="center"/>
        <w:tblLook w:firstColumn="1" w:firstRow="1" w:lastColumn="0" w:lastRow="0" w:noHBand="0" w:noVBand="1" w:val="04A0"/>
      </w:tblPr>
      <w:tblGrid>
        <w:gridCol w:w="1758"/>
        <w:gridCol w:w="1758"/>
        <w:gridCol w:w="1758"/>
        <w:gridCol w:w="1758"/>
        <w:gridCol w:w="1758"/>
      </w:tblGrid>
      <w:tr>
        <w:tc>
          <w:tcPr>
            <w:tcW w:type="dxa" w:w="1758"/>
            <w:shd w:fill="0F2027" w:val="clear"/>
          </w:tcPr>
          <w:p>
            <w:r/>
            <w:r>
              <w:rPr>
                <w:rFonts w:ascii="Microsoft YaHei" w:hAnsi="Microsoft YaHei" w:eastAsia="Microsoft YaHei"/>
                <w:b/>
                <w:color w:val="FFFFFF"/>
                <w:sz w:val="20"/>
              </w:rPr>
              <w:t>Tier</w:t>
            </w:r>
          </w:p>
        </w:tc>
        <w:tc>
          <w:tcPr>
            <w:tcW w:type="dxa" w:w="1758"/>
            <w:shd w:fill="0F2027" w:val="clear"/>
          </w:tcPr>
          <w:p>
            <w:r/>
            <w:r>
              <w:rPr>
                <w:rFonts w:ascii="Microsoft YaHei" w:hAnsi="Microsoft YaHei" w:eastAsia="Microsoft YaHei"/>
                <w:b/>
                <w:color w:val="FFFFFF"/>
                <w:sz w:val="20"/>
              </w:rPr>
              <w:t>Nama</w:t>
            </w:r>
          </w:p>
        </w:tc>
        <w:tc>
          <w:tcPr>
            <w:tcW w:type="dxa" w:w="1758"/>
            <w:shd w:fill="0F2027" w:val="clear"/>
          </w:tcPr>
          <w:p>
            <w:r/>
            <w:r>
              <w:rPr>
                <w:rFonts w:ascii="Microsoft YaHei" w:hAnsi="Microsoft YaHei" w:eastAsia="Microsoft YaHei"/>
                <w:b/>
                <w:color w:val="FFFFFF"/>
                <w:sz w:val="20"/>
              </w:rPr>
              <w:t>Gelar</w:t>
            </w:r>
          </w:p>
        </w:tc>
        <w:tc>
          <w:tcPr>
            <w:tcW w:type="dxa" w:w="1758"/>
            <w:shd w:fill="0F2027" w:val="clear"/>
          </w:tcPr>
          <w:p>
            <w:r/>
            <w:r>
              <w:rPr>
                <w:rFonts w:ascii="Microsoft YaHei" w:hAnsi="Microsoft YaHei" w:eastAsia="Microsoft YaHei"/>
                <w:b/>
                <w:color w:val="FFFFFF"/>
                <w:sz w:val="20"/>
              </w:rPr>
              <w:t>Biaya Early Bird</w:t>
            </w:r>
          </w:p>
        </w:tc>
        <w:tc>
          <w:tcPr>
            <w:tcW w:type="dxa" w:w="1758"/>
            <w:shd w:fill="0F2027" w:val="clear"/>
          </w:tcPr>
          <w:p>
            <w:r/>
            <w:r>
              <w:rPr>
                <w:rFonts w:ascii="Microsoft YaHei" w:hAnsi="Microsoft YaHei" w:eastAsia="Microsoft YaHei"/>
                <w:b/>
                <w:color w:val="FFFFFF"/>
                <w:sz w:val="20"/>
              </w:rPr>
              <w:t>Manfaat Utama</w:t>
            </w:r>
          </w:p>
        </w:tc>
      </w:tr>
      <w:tr>
        <w:tc>
          <w:tcPr>
            <w:tcW w:type="dxa" w:w="1758"/>
            <w:shd w:fill="F5F7FA" w:val="clear"/>
          </w:tcPr>
          <w:p>
            <w:r/>
            <w:r>
              <w:rPr>
                <w:rFonts w:ascii="Microsoft YaHei" w:hAnsi="Microsoft YaHei" w:eastAsia="Microsoft YaHei"/>
                <w:sz w:val="20"/>
              </w:rPr>
              <w:t>1</w:t>
            </w:r>
          </w:p>
        </w:tc>
        <w:tc>
          <w:tcPr>
            <w:tcW w:type="dxa" w:w="1758"/>
            <w:shd w:fill="F5F7FA" w:val="clear"/>
          </w:tcPr>
          <w:p>
            <w:r/>
            <w:r>
              <w:rPr>
                <w:rFonts w:ascii="Microsoft YaHei" w:hAnsi="Microsoft YaHei" w:eastAsia="Microsoft YaHei"/>
                <w:sz w:val="20"/>
              </w:rPr>
              <w:t>Petani</w:t>
            </w:r>
          </w:p>
        </w:tc>
        <w:tc>
          <w:tcPr>
            <w:tcW w:type="dxa" w:w="1758"/>
            <w:shd w:fill="F5F7FA" w:val="clear"/>
          </w:tcPr>
          <w:p>
            <w:r/>
            <w:r>
              <w:rPr>
                <w:rFonts w:ascii="Microsoft YaHei" w:hAnsi="Microsoft YaHei" w:eastAsia="Microsoft YaHei"/>
                <w:sz w:val="20"/>
              </w:rPr>
              <w:t>Petani Koperasi</w:t>
            </w:r>
          </w:p>
        </w:tc>
        <w:tc>
          <w:tcPr>
            <w:tcW w:type="dxa" w:w="1758"/>
            <w:shd w:fill="F5F7FA" w:val="clear"/>
          </w:tcPr>
          <w:p>
            <w:r/>
            <w:r>
              <w:rPr>
                <w:rFonts w:ascii="Microsoft YaHei" w:hAnsi="Microsoft YaHei" w:eastAsia="Microsoft YaHei"/>
                <w:sz w:val="20"/>
              </w:rPr>
              <w:t>GRATIS</w:t>
            </w:r>
          </w:p>
        </w:tc>
        <w:tc>
          <w:tcPr>
            <w:tcW w:type="dxa" w:w="1758"/>
            <w:shd w:fill="F5F7FA" w:val="clear"/>
          </w:tcPr>
          <w:p>
            <w:r/>
            <w:r>
              <w:rPr>
                <w:rFonts w:ascii="Microsoft YaHei" w:hAnsi="Microsoft YaHei" w:eastAsia="Microsoft YaHei"/>
                <w:sz w:val="20"/>
              </w:rPr>
              <w:t>ID digital, Academy T1, Marketplace dasar, SHU panen</w:t>
            </w:r>
          </w:p>
        </w:tc>
      </w:tr>
      <w:tr>
        <w:tc>
          <w:tcPr>
            <w:tcW w:type="dxa" w:w="1758"/>
          </w:tcPr>
          <w:p>
            <w:r/>
            <w:r>
              <w:rPr>
                <w:rFonts w:ascii="Microsoft YaHei" w:hAnsi="Microsoft YaHei" w:eastAsia="Microsoft YaHei"/>
                <w:sz w:val="20"/>
              </w:rPr>
              <w:t>2</w:t>
            </w:r>
          </w:p>
        </w:tc>
        <w:tc>
          <w:tcPr>
            <w:tcW w:type="dxa" w:w="1758"/>
          </w:tcPr>
          <w:p>
            <w:r/>
            <w:r>
              <w:rPr>
                <w:rFonts w:ascii="Microsoft YaHei" w:hAnsi="Microsoft YaHei" w:eastAsia="Microsoft YaHei"/>
                <w:sz w:val="20"/>
              </w:rPr>
              <w:t>Anggota Biasa</w:t>
            </w:r>
          </w:p>
        </w:tc>
        <w:tc>
          <w:tcPr>
            <w:tcW w:type="dxa" w:w="1758"/>
          </w:tcPr>
          <w:p>
            <w:r/>
            <w:r>
              <w:rPr>
                <w:rFonts w:ascii="Microsoft YaHei" w:hAnsi="Microsoft YaHei" w:eastAsia="Microsoft YaHei"/>
                <w:sz w:val="20"/>
              </w:rPr>
              <w:t>Anggota Koperasi</w:t>
            </w:r>
          </w:p>
        </w:tc>
        <w:tc>
          <w:tcPr>
            <w:tcW w:type="dxa" w:w="1758"/>
          </w:tcPr>
          <w:p>
            <w:r/>
            <w:r>
              <w:rPr>
                <w:rFonts w:ascii="Microsoft YaHei" w:hAnsi="Microsoft YaHei" w:eastAsia="Microsoft YaHei"/>
                <w:sz w:val="20"/>
              </w:rPr>
              <w:t>Rp 50.000</w:t>
            </w:r>
          </w:p>
        </w:tc>
        <w:tc>
          <w:tcPr>
            <w:tcW w:type="dxa" w:w="1758"/>
          </w:tcPr>
          <w:p>
            <w:r/>
            <w:r>
              <w:rPr>
                <w:rFonts w:ascii="Microsoft YaHei" w:hAnsi="Microsoft YaHei" w:eastAsia="Microsoft YaHei"/>
                <w:sz w:val="20"/>
              </w:rPr>
              <w:t>+ Direktori bisnis, Pelatihan prioritas, Hak voting Munas</w:t>
            </w:r>
          </w:p>
        </w:tc>
      </w:tr>
      <w:tr>
        <w:tc>
          <w:tcPr>
            <w:tcW w:type="dxa" w:w="1758"/>
            <w:shd w:fill="F5F7FA" w:val="clear"/>
          </w:tcPr>
          <w:p>
            <w:r/>
            <w:r>
              <w:rPr>
                <w:rFonts w:ascii="Microsoft YaHei" w:hAnsi="Microsoft YaHei" w:eastAsia="Microsoft YaHei"/>
                <w:sz w:val="20"/>
              </w:rPr>
              <w:t>3</w:t>
            </w:r>
          </w:p>
        </w:tc>
        <w:tc>
          <w:tcPr>
            <w:tcW w:type="dxa" w:w="1758"/>
            <w:shd w:fill="F5F7FA" w:val="clear"/>
          </w:tcPr>
          <w:p>
            <w:r/>
            <w:r>
              <w:rPr>
                <w:rFonts w:ascii="Microsoft YaHei" w:hAnsi="Microsoft YaHei" w:eastAsia="Microsoft YaHei"/>
                <w:sz w:val="20"/>
              </w:rPr>
              <w:t>KORDES</w:t>
            </w:r>
          </w:p>
        </w:tc>
        <w:tc>
          <w:tcPr>
            <w:tcW w:type="dxa" w:w="1758"/>
            <w:shd w:fill="F5F7FA" w:val="clear"/>
          </w:tcPr>
          <w:p>
            <w:r/>
            <w:r>
              <w:rPr>
                <w:rFonts w:ascii="Microsoft YaHei" w:hAnsi="Microsoft YaHei" w:eastAsia="Microsoft YaHei"/>
                <w:sz w:val="20"/>
              </w:rPr>
              <w:t>Panglima Desa</w:t>
            </w:r>
          </w:p>
        </w:tc>
        <w:tc>
          <w:tcPr>
            <w:tcW w:type="dxa" w:w="1758"/>
            <w:shd w:fill="F5F7FA" w:val="clear"/>
          </w:tcPr>
          <w:p>
            <w:r/>
            <w:r>
              <w:rPr>
                <w:rFonts w:ascii="Microsoft YaHei" w:hAnsi="Microsoft YaHei" w:eastAsia="Microsoft YaHei"/>
                <w:sz w:val="20"/>
              </w:rPr>
              <w:t>Rp 500.000</w:t>
            </w:r>
          </w:p>
        </w:tc>
        <w:tc>
          <w:tcPr>
            <w:tcW w:type="dxa" w:w="1758"/>
            <w:shd w:fill="F5F7FA" w:val="clear"/>
          </w:tcPr>
          <w:p>
            <w:r/>
            <w:r>
              <w:rPr>
                <w:rFonts w:ascii="Microsoft YaHei" w:hAnsi="Microsoft YaHei" w:eastAsia="Microsoft YaHei"/>
                <w:sz w:val="20"/>
              </w:rPr>
              <w:t>+ HPKW Desa, Hak usaha logistik, Dashboard agen</w:t>
            </w:r>
          </w:p>
        </w:tc>
      </w:tr>
      <w:tr>
        <w:tc>
          <w:tcPr>
            <w:tcW w:type="dxa" w:w="1758"/>
          </w:tcPr>
          <w:p>
            <w:r/>
            <w:r>
              <w:rPr>
                <w:rFonts w:ascii="Microsoft YaHei" w:hAnsi="Microsoft YaHei" w:eastAsia="Microsoft YaHei"/>
                <w:sz w:val="20"/>
              </w:rPr>
              <w:t>4</w:t>
            </w:r>
          </w:p>
        </w:tc>
        <w:tc>
          <w:tcPr>
            <w:tcW w:type="dxa" w:w="1758"/>
          </w:tcPr>
          <w:p>
            <w:r/>
            <w:r>
              <w:rPr>
                <w:rFonts w:ascii="Microsoft YaHei" w:hAnsi="Microsoft YaHei" w:eastAsia="Microsoft YaHei"/>
                <w:sz w:val="20"/>
              </w:rPr>
              <w:t>KORCAM</w:t>
            </w:r>
          </w:p>
        </w:tc>
        <w:tc>
          <w:tcPr>
            <w:tcW w:type="dxa" w:w="1758"/>
          </w:tcPr>
          <w:p>
            <w:r/>
            <w:r>
              <w:rPr>
                <w:rFonts w:ascii="Microsoft YaHei" w:hAnsi="Microsoft YaHei" w:eastAsia="Microsoft YaHei"/>
                <w:sz w:val="20"/>
              </w:rPr>
              <w:t>Panglima Camat</w:t>
            </w:r>
          </w:p>
        </w:tc>
        <w:tc>
          <w:tcPr>
            <w:tcW w:type="dxa" w:w="1758"/>
          </w:tcPr>
          <w:p>
            <w:r/>
            <w:r>
              <w:rPr>
                <w:rFonts w:ascii="Microsoft YaHei" w:hAnsi="Microsoft YaHei" w:eastAsia="Microsoft YaHei"/>
                <w:sz w:val="20"/>
              </w:rPr>
              <w:t>Rp 2.000.000</w:t>
            </w:r>
          </w:p>
        </w:tc>
        <w:tc>
          <w:tcPr>
            <w:tcW w:type="dxa" w:w="1758"/>
          </w:tcPr>
          <w:p>
            <w:r/>
            <w:r>
              <w:rPr>
                <w:rFonts w:ascii="Microsoft YaHei" w:hAnsi="Microsoft YaHei" w:eastAsia="Microsoft YaHei"/>
                <w:sz w:val="20"/>
              </w:rPr>
              <w:t>+ HPKW Kecamatan, Koordinasi agen, Revenue sharing</w:t>
            </w:r>
          </w:p>
        </w:tc>
      </w:tr>
      <w:tr>
        <w:tc>
          <w:tcPr>
            <w:tcW w:type="dxa" w:w="1758"/>
            <w:shd w:fill="F5F7FA" w:val="clear"/>
          </w:tcPr>
          <w:p>
            <w:r/>
            <w:r>
              <w:rPr>
                <w:rFonts w:ascii="Microsoft YaHei" w:hAnsi="Microsoft YaHei" w:eastAsia="Microsoft YaHei"/>
                <w:sz w:val="20"/>
              </w:rPr>
              <w:t>5</w:t>
            </w:r>
          </w:p>
        </w:tc>
        <w:tc>
          <w:tcPr>
            <w:tcW w:type="dxa" w:w="1758"/>
            <w:shd w:fill="F5F7FA" w:val="clear"/>
          </w:tcPr>
          <w:p>
            <w:r/>
            <w:r>
              <w:rPr>
                <w:rFonts w:ascii="Microsoft YaHei" w:hAnsi="Microsoft YaHei" w:eastAsia="Microsoft YaHei"/>
                <w:sz w:val="20"/>
              </w:rPr>
              <w:t>KORDA</w:t>
            </w:r>
          </w:p>
        </w:tc>
        <w:tc>
          <w:tcPr>
            <w:tcW w:type="dxa" w:w="1758"/>
            <w:shd w:fill="F5F7FA" w:val="clear"/>
          </w:tcPr>
          <w:p>
            <w:r/>
            <w:r>
              <w:rPr>
                <w:rFonts w:ascii="Microsoft YaHei" w:hAnsi="Microsoft YaHei" w:eastAsia="Microsoft YaHei"/>
                <w:sz w:val="20"/>
              </w:rPr>
              <w:t>Panglima Distrik</w:t>
            </w:r>
          </w:p>
        </w:tc>
        <w:tc>
          <w:tcPr>
            <w:tcW w:type="dxa" w:w="1758"/>
            <w:shd w:fill="F5F7FA" w:val="clear"/>
          </w:tcPr>
          <w:p>
            <w:r/>
            <w:r>
              <w:rPr>
                <w:rFonts w:ascii="Microsoft YaHei" w:hAnsi="Microsoft YaHei" w:eastAsia="Microsoft YaHei"/>
                <w:sz w:val="20"/>
              </w:rPr>
              <w:t>Rp 3.000.000</w:t>
            </w:r>
          </w:p>
        </w:tc>
        <w:tc>
          <w:tcPr>
            <w:tcW w:type="dxa" w:w="1758"/>
            <w:shd w:fill="F5F7FA" w:val="clear"/>
          </w:tcPr>
          <w:p>
            <w:r/>
            <w:r>
              <w:rPr>
                <w:rFonts w:ascii="Microsoft YaHei" w:hAnsi="Microsoft YaHei" w:eastAsia="Microsoft YaHei"/>
                <w:sz w:val="20"/>
              </w:rPr>
              <w:t>+ HPKW Kabupaten, Account Manager, Proyek pemerintah</w:t>
            </w:r>
          </w:p>
        </w:tc>
      </w:tr>
      <w:tr>
        <w:tc>
          <w:tcPr>
            <w:tcW w:type="dxa" w:w="1758"/>
          </w:tcPr>
          <w:p>
            <w:r/>
            <w:r>
              <w:rPr>
                <w:rFonts w:ascii="Microsoft YaHei" w:hAnsi="Microsoft YaHei" w:eastAsia="Microsoft YaHei"/>
                <w:sz w:val="20"/>
              </w:rPr>
              <w:t>6</w:t>
            </w:r>
          </w:p>
        </w:tc>
        <w:tc>
          <w:tcPr>
            <w:tcW w:type="dxa" w:w="1758"/>
          </w:tcPr>
          <w:p>
            <w:r/>
            <w:r>
              <w:rPr>
                <w:rFonts w:ascii="Microsoft YaHei" w:hAnsi="Microsoft YaHei" w:eastAsia="Microsoft YaHei"/>
                <w:sz w:val="20"/>
              </w:rPr>
              <w:t>KORWIL</w:t>
            </w:r>
          </w:p>
        </w:tc>
        <w:tc>
          <w:tcPr>
            <w:tcW w:type="dxa" w:w="1758"/>
          </w:tcPr>
          <w:p>
            <w:r/>
            <w:r>
              <w:rPr>
                <w:rFonts w:ascii="Microsoft YaHei" w:hAnsi="Microsoft YaHei" w:eastAsia="Microsoft YaHei"/>
                <w:sz w:val="20"/>
              </w:rPr>
              <w:t>Panglima Wilayah</w:t>
            </w:r>
          </w:p>
        </w:tc>
        <w:tc>
          <w:tcPr>
            <w:tcW w:type="dxa" w:w="1758"/>
          </w:tcPr>
          <w:p>
            <w:r/>
            <w:r>
              <w:rPr>
                <w:rFonts w:ascii="Microsoft YaHei" w:hAnsi="Microsoft YaHei" w:eastAsia="Microsoft YaHei"/>
                <w:sz w:val="20"/>
              </w:rPr>
              <w:t>Rp 20.000.000</w:t>
            </w:r>
          </w:p>
        </w:tc>
        <w:tc>
          <w:tcPr>
            <w:tcW w:type="dxa" w:w="1758"/>
          </w:tcPr>
          <w:p>
            <w:r/>
            <w:r>
              <w:rPr>
                <w:rFonts w:ascii="Microsoft YaHei" w:hAnsi="Microsoft YaHei" w:eastAsia="Microsoft YaHei"/>
                <w:sz w:val="20"/>
              </w:rPr>
              <w:t>+ HPKW Provinsi, Regional Director, Dewan Nasional</w:t>
            </w:r>
          </w:p>
        </w:tc>
      </w:tr>
      <w:tr>
        <w:tc>
          <w:tcPr>
            <w:tcW w:type="dxa" w:w="1758"/>
            <w:shd w:fill="F5F7FA" w:val="clear"/>
          </w:tcPr>
          <w:p>
            <w:r/>
            <w:r>
              <w:rPr>
                <w:rFonts w:ascii="Microsoft YaHei" w:hAnsi="Microsoft YaHei" w:eastAsia="Microsoft YaHei"/>
                <w:sz w:val="20"/>
              </w:rPr>
              <w:t>7</w:t>
            </w:r>
          </w:p>
        </w:tc>
        <w:tc>
          <w:tcPr>
            <w:tcW w:type="dxa" w:w="1758"/>
            <w:shd w:fill="F5F7FA" w:val="clear"/>
          </w:tcPr>
          <w:p>
            <w:r/>
            <w:r>
              <w:rPr>
                <w:rFonts w:ascii="Microsoft YaHei" w:hAnsi="Microsoft YaHei" w:eastAsia="Microsoft YaHei"/>
                <w:sz w:val="20"/>
              </w:rPr>
              <w:t>KORNAS</w:t>
            </w:r>
          </w:p>
        </w:tc>
        <w:tc>
          <w:tcPr>
            <w:tcW w:type="dxa" w:w="1758"/>
            <w:shd w:fill="F5F7FA" w:val="clear"/>
          </w:tcPr>
          <w:p>
            <w:r/>
            <w:r>
              <w:rPr>
                <w:rFonts w:ascii="Microsoft YaHei" w:hAnsi="Microsoft YaHei" w:eastAsia="Microsoft YaHei"/>
                <w:sz w:val="20"/>
              </w:rPr>
              <w:t>Panglima Besar</w:t>
            </w:r>
          </w:p>
        </w:tc>
        <w:tc>
          <w:tcPr>
            <w:tcW w:type="dxa" w:w="1758"/>
            <w:shd w:fill="F5F7FA" w:val="clear"/>
          </w:tcPr>
          <w:p>
            <w:r/>
            <w:r>
              <w:rPr>
                <w:rFonts w:ascii="Microsoft YaHei" w:hAnsi="Microsoft YaHei" w:eastAsia="Microsoft YaHei"/>
                <w:sz w:val="20"/>
              </w:rPr>
              <w:t>Rp 200.000.000</w:t>
            </w:r>
          </w:p>
        </w:tc>
        <w:tc>
          <w:tcPr>
            <w:tcW w:type="dxa" w:w="1758"/>
            <w:shd w:fill="F5F7FA" w:val="clear"/>
          </w:tcPr>
          <w:p>
            <w:r/>
            <w:r>
              <w:rPr>
                <w:rFonts w:ascii="Microsoft YaHei" w:hAnsi="Microsoft YaHei" w:eastAsia="Microsoft YaHei"/>
                <w:sz w:val="20"/>
              </w:rPr>
              <w:t>+ HPKW Nasional, Board of Directors, Hak veto terbatas</w:t>
            </w:r>
          </w:p>
        </w:tc>
      </w:tr>
    </w:tbl>
    <w:p>
      <w:pPr>
        <w:pStyle w:val="Heading1"/>
      </w:pPr>
      <w:r>
        <w:rPr>
          <w:rFonts w:ascii="SimHei" w:hAnsi="SimHei" w:eastAsia="SimHei"/>
          <w:color w:val="0F2027"/>
        </w:rPr>
        <w:t>3.4 Model Bisnis</w:t>
      </w:r>
    </w:p>
    <w:p>
      <w:pPr>
        <w:spacing w:line="360" w:lineRule="exact"/>
        <w:ind w:firstLine="420"/>
      </w:pPr>
      <w:r>
        <w:rPr>
          <w:rFonts w:ascii="Microsoft YaHei" w:hAnsi="Microsoft YaHei" w:eastAsia="Microsoft YaHei"/>
          <w:b w:val="0"/>
          <w:i w:val="0"/>
          <w:color w:val="1C2A3D"/>
          <w:sz w:val="22"/>
        </w:rPr>
        <w:t>KNBMP menghasilkan pendapatan dari enam revenue stream: komisi transaksi marketplace (target Rp 2,5 triliun/bulan pada skala penuh dari 56.650+ produk dan 125.000+ penjual), fee layanan logistik digital (dari 1,25 juta paket/bulan dengan komisi Rp 8,5 juta+ terdistribusi), biaya administrasi JP3 Pay, pendapatan JE-P3 Academy, margin Haji dan Umroh, dan revenue carbon credits. Struktur biaya fokus pada pengembangan teknologi platform, operasional logistik, gaji dan pelatihan kader digital, serta pemeliharaan infrastruktur. Unit economics didesain positif per transaksi. Pada skala penuh, KNBMP bertarget path to profitability dalam 3-5 tahun, dengan SHU didistribusikan: 40% untuk anggota Tier 3+, cadangan risiko, dan reinvestasi ekosistem. Total aset base target Rp 25+ triliun pada 2035.</w:t>
      </w:r>
    </w:p>
    <w:p>
      <w:pPr>
        <w:pStyle w:val="Heading1"/>
      </w:pPr>
      <w:r>
        <w:rPr>
          <w:rFonts w:ascii="SimHei" w:hAnsi="SimHei" w:eastAsia="SimHei"/>
          <w:color w:val="0F2027"/>
        </w:rPr>
        <w:t>3.5 Teknologi dan Platform</w:t>
      </w:r>
    </w:p>
    <w:p>
      <w:pPr>
        <w:spacing w:line="360" w:lineRule="exact"/>
        <w:ind w:firstLine="420"/>
      </w:pPr>
      <w:r>
        <w:rPr>
          <w:rFonts w:ascii="Microsoft YaHei" w:hAnsi="Microsoft YaHei" w:eastAsia="Microsoft YaHei"/>
          <w:b w:val="0"/>
          <w:i w:val="0"/>
          <w:color w:val="1C2A3D"/>
          <w:sz w:val="22"/>
        </w:rPr>
        <w:t>Arsitektur teknologi KNBMP dibangun dengan prinsip kedaulatan digital: platform own, data own, infrastruktur own. Fitur utama: Smart Village Dashboard memantau 83.763 desa real-time, E-Voting untuk RAT digital, Blockchain-verified member card dan transaksi, Sistem Escrow untuk perlindungan dana investor (ART Pasal 10), JP3 Pay dengan auto-deduction capability. Keamanan dijamin ISO 27001, pengawasan OJK, KYC/AML (ART 8), lock-up 24 bulan (ART 9), escrow mandatory (ART 10). Roadmap teknologi: AI untuk prediksi pasar pertanian, IoT untuk monitoring rantai dingin, smart contracts untuk otomatisasi governance, dan sovereign digital currency untuk ekosistem internal.</w:t>
      </w:r>
    </w:p>
    <w:p>
      <w:pPr>
        <w:pStyle w:val="Heading1"/>
      </w:pPr>
      <w:r>
        <w:rPr>
          <w:rFonts w:ascii="SimHei" w:hAnsi="SimHei" w:eastAsia="SimHei"/>
          <w:color w:val="0F2027"/>
        </w:rPr>
        <w:t>BAGIAN IV: KEUNGGULAN KOMPETITIF</w:t>
      </w:r>
    </w:p>
    <w:p>
      <w:pPr>
        <w:pStyle w:val="Heading3"/>
      </w:pPr>
      <w:r>
        <w:rPr>
          <w:rFonts w:ascii="SimHei" w:hAnsi="SimHei" w:eastAsia="SimHei"/>
          <w:color w:val="0F2027"/>
        </w:rPr>
        <w:t>First Mover Advantage</w:t>
      </w:r>
    </w:p>
    <w:p>
      <w:pPr>
        <w:spacing w:line="360" w:lineRule="exact"/>
        <w:ind w:firstLine="420"/>
      </w:pPr>
      <w:r>
        <w:rPr>
          <w:rFonts w:ascii="Microsoft YaHei" w:hAnsi="Microsoft YaHei" w:eastAsia="Microsoft YaHei"/>
          <w:b w:val="0"/>
          <w:i w:val="0"/>
          <w:color w:val="1C2A3D"/>
          <w:sz w:val="22"/>
        </w:rPr>
        <w:t>KNBMP adalah koperasi digital multipihak pertama di Indonesia yang mengintegrasikan marketplace, logistik, fintech, pendidikan, dan perdagangan internasional dalam satu ekosistem. Tidak ada pesaing yang menawarkan model serupa dengan skala nasional.</w:t>
      </w:r>
    </w:p>
    <w:p>
      <w:pPr>
        <w:pStyle w:val="Heading3"/>
      </w:pPr>
      <w:r>
        <w:rPr>
          <w:rFonts w:ascii="SimHei" w:hAnsi="SimHei" w:eastAsia="SimHei"/>
          <w:color w:val="0F2027"/>
        </w:rPr>
        <w:t>Network Effects</w:t>
      </w:r>
    </w:p>
    <w:p>
      <w:pPr>
        <w:spacing w:line="360" w:lineRule="exact"/>
        <w:ind w:firstLine="420"/>
      </w:pPr>
      <w:r>
        <w:rPr>
          <w:rFonts w:ascii="Microsoft YaHei" w:hAnsi="Microsoft YaHei" w:eastAsia="Microsoft YaHei"/>
          <w:b w:val="0"/>
          <w:i w:val="0"/>
          <w:color w:val="1C2A3D"/>
          <w:sz w:val="22"/>
        </w:rPr>
        <w:t>Setiap anggota baru meningkatkan nilai ekosistem bagi semua anggota. Lebih banyak penjual menarik lebih banyak pembeli dan sebaliknya. Lebih banyak desa terhubung meningkatkan efisiensi logistik. Efek jaringan ini menciptakan hambatan masuk signifikan.</w:t>
      </w:r>
    </w:p>
    <w:p>
      <w:pPr>
        <w:pStyle w:val="Heading3"/>
      </w:pPr>
      <w:r>
        <w:rPr>
          <w:rFonts w:ascii="SimHei" w:hAnsi="SimHei" w:eastAsia="SimHei"/>
          <w:color w:val="0F2027"/>
        </w:rPr>
        <w:t>Community Trust</w:t>
      </w:r>
    </w:p>
    <w:p>
      <w:pPr>
        <w:spacing w:line="360" w:lineRule="exact"/>
        <w:ind w:firstLine="420"/>
      </w:pPr>
      <w:r>
        <w:rPr>
          <w:rFonts w:ascii="Microsoft YaHei" w:hAnsi="Microsoft YaHei" w:eastAsia="Microsoft YaHei"/>
          <w:b w:val="0"/>
          <w:i w:val="0"/>
          <w:color w:val="1C2A3D"/>
          <w:sz w:val="22"/>
        </w:rPr>
        <w:t>Pentagon Kedaulatan dengan governance demokratis menghasilkan tingkat kepercayaan lebih tinggi dibanding platform komersial. One Member One Vote menjamin kepercayaan tidak bisa dikhianati satu kelompok pun.</w:t>
      </w:r>
    </w:p>
    <w:p>
      <w:pPr>
        <w:pStyle w:val="Heading3"/>
      </w:pPr>
      <w:r>
        <w:rPr>
          <w:rFonts w:ascii="SimHei" w:hAnsi="SimHei" w:eastAsia="SimHei"/>
          <w:color w:val="0F2027"/>
        </w:rPr>
        <w:t>Data Advantage</w:t>
      </w:r>
    </w:p>
    <w:p>
      <w:pPr>
        <w:spacing w:line="360" w:lineRule="exact"/>
        <w:ind w:firstLine="420"/>
      </w:pPr>
      <w:r>
        <w:rPr>
          <w:rFonts w:ascii="Microsoft YaHei" w:hAnsi="Microsoft YaHei" w:eastAsia="Microsoft YaHei"/>
          <w:b w:val="0"/>
          <w:i w:val="0"/>
          <w:color w:val="1C2A3D"/>
          <w:sz w:val="22"/>
        </w:rPr>
        <w:t>Dengan 83.763 desa terintegrasi, KNBMP memiliki dataset ekonomi desa paling komprehensif di Indonesia, memungkinkan prediksi pasar, analisis risiko kredit alternatif, dan personalisasi layanan.</w:t>
      </w:r>
    </w:p>
    <w:p>
      <w:pPr>
        <w:pStyle w:val="Heading3"/>
      </w:pPr>
      <w:r>
        <w:rPr>
          <w:rFonts w:ascii="SimHei" w:hAnsi="SimHei" w:eastAsia="SimHei"/>
          <w:color w:val="0F2027"/>
        </w:rPr>
        <w:t>Government Relationships</w:t>
      </w:r>
    </w:p>
    <w:p>
      <w:pPr>
        <w:spacing w:line="360" w:lineRule="exact"/>
        <w:ind w:firstLine="420"/>
      </w:pPr>
      <w:r>
        <w:rPr>
          <w:rFonts w:ascii="Microsoft YaHei" w:hAnsi="Microsoft YaHei" w:eastAsia="Microsoft YaHei"/>
          <w:b w:val="0"/>
          <w:i w:val="0"/>
          <w:color w:val="1C2A3D"/>
          <w:sz w:val="22"/>
        </w:rPr>
        <w:t>KNBMP selaras dengan program KDMP pemerintah, memiliki hubungan dengan 16 kementerian. Ini memberikan akses ke program pemerintah, data resmi, dan legitimasi.</w:t>
      </w:r>
    </w:p>
    <w:p>
      <w:pPr>
        <w:pStyle w:val="Heading3"/>
      </w:pPr>
      <w:r>
        <w:rPr>
          <w:rFonts w:ascii="SimHei" w:hAnsi="SimHei" w:eastAsia="SimHei"/>
          <w:color w:val="0F2027"/>
        </w:rPr>
        <w:t>Integrated Ecosystem</w:t>
      </w:r>
    </w:p>
    <w:p>
      <w:pPr>
        <w:spacing w:line="360" w:lineRule="exact"/>
        <w:ind w:firstLine="420"/>
      </w:pPr>
      <w:r>
        <w:rPr>
          <w:rFonts w:ascii="Microsoft YaHei" w:hAnsi="Microsoft YaHei" w:eastAsia="Microsoft YaHei"/>
          <w:b w:val="0"/>
          <w:i w:val="0"/>
          <w:color w:val="1C2A3D"/>
          <w:sz w:val="22"/>
        </w:rPr>
        <w:t>Berbeda dari platform single-function, KNBMP menawarkan ekosistem terintegrasi dimana setiap komponen memperkuat yang lain. Marketplace butuh logistik, logistik butuh fintech, fintech butuh data.</w:t>
      </w:r>
    </w:p>
    <w:p>
      <w:pPr>
        <w:pStyle w:val="Heading3"/>
      </w:pPr>
      <w:r>
        <w:rPr>
          <w:rFonts w:ascii="SimHei" w:hAnsi="SimHei" w:eastAsia="SimHei"/>
          <w:color w:val="0F2027"/>
        </w:rPr>
        <w:t>Anti-Oligarchy Design</w:t>
      </w:r>
    </w:p>
    <w:p>
      <w:pPr>
        <w:spacing w:line="360" w:lineRule="exact"/>
        <w:ind w:firstLine="420"/>
      </w:pPr>
      <w:r>
        <w:rPr>
          <w:rFonts w:ascii="Microsoft YaHei" w:hAnsi="Microsoft YaHei" w:eastAsia="Microsoft YaHei"/>
          <w:b w:val="0"/>
          <w:i w:val="0"/>
          <w:color w:val="1C2A3D"/>
          <w:sz w:val="22"/>
        </w:rPr>
        <w:t>Doktrin Anti-Oligarki (ART 7) membedakan KNBMP dari koperasi tradisional yang sering dikontrol elite. Ini menarik anggota yang kecewa dengan model tidak demokratis.</w:t>
      </w:r>
    </w:p>
    <w:p>
      <w:pPr>
        <w:pStyle w:val="Heading1"/>
      </w:pPr>
      <w:r>
        <w:rPr>
          <w:rFonts w:ascii="SimHei" w:hAnsi="SimHei" w:eastAsia="SimHei"/>
          <w:color w:val="0F2027"/>
        </w:rPr>
        <w:t>BAGIAN V: STRATEGI IMPLEMENTASI</w:t>
      </w:r>
    </w:p>
    <w:p>
      <w:pPr>
        <w:pStyle w:val="Heading1"/>
      </w:pPr>
      <w:r>
        <w:rPr>
          <w:rFonts w:ascii="SimHei" w:hAnsi="SimHei" w:eastAsia="SimHei"/>
          <w:color w:val="0F2027"/>
        </w:rPr>
        <w:t>5.1 Fase 1: Fondasi (2026-2030)</w:t>
      </w:r>
    </w:p>
    <w:p>
      <w:pPr>
        <w:spacing w:line="360" w:lineRule="exact"/>
        <w:ind w:firstLine="420"/>
      </w:pPr>
      <w:r>
        <w:rPr>
          <w:rFonts w:ascii="Microsoft YaHei" w:hAnsi="Microsoft YaHei" w:eastAsia="Microsoft YaHei"/>
          <w:b w:val="0"/>
          <w:i w:val="0"/>
          <w:color w:val="1C2A3D"/>
          <w:sz w:val="22"/>
        </w:rPr>
        <w:t>Target: 1 juta anggota, 10.000 desa, proof of concept di 38 provinsi. Aktivitas: pengembangan platform kopnusa.id versi production, rekrutmen dan pelatihan kader digital KORDES-KORCAM-KORDA, pembangunan kemitraan dengan 6+ ekspedisi logistik, integrasi dengan program KDMP, peluncuran 6 unit usaha bertahap. Resource: modal awal dari 17 pendiri dan KPA-5, tim teknologi 50+ engineer, jaringan kader 10.000+. Indikator: 100.000+ transaksi/bulan, NPS &gt; 70, retensi anggota &gt; 80%, zero fraud cases.</w:t>
      </w:r>
    </w:p>
    <w:p>
      <w:pPr>
        <w:pStyle w:val="Heading1"/>
      </w:pPr>
      <w:r>
        <w:rPr>
          <w:rFonts w:ascii="SimHei" w:hAnsi="SimHei" w:eastAsia="SimHei"/>
          <w:color w:val="0F2027"/>
        </w:rPr>
        <w:t>5.2 Fase 2: Skala (2030-2035)</w:t>
      </w:r>
    </w:p>
    <w:p>
      <w:pPr>
        <w:spacing w:line="360" w:lineRule="exact"/>
        <w:ind w:firstLine="420"/>
      </w:pPr>
      <w:r>
        <w:rPr>
          <w:rFonts w:ascii="Microsoft YaHei" w:hAnsi="Microsoft YaHei" w:eastAsia="Microsoft YaHei"/>
          <w:b w:val="0"/>
          <w:i w:val="0"/>
          <w:color w:val="1C2A3D"/>
          <w:sz w:val="22"/>
        </w:rPr>
        <w:t>Target: 5 juta anggota, 50.000 desa, ekspansi ASEAN. Aktivitas: peningkatan kapasitas platform jutaan transaksi, peluncuran fasilitas ekspor-impor untuk Tier 3+, pembangunan hub logistik regional di 6 pulau utama, peluncuran carbon credits marketplace, kemitraan universitas dan lembaga riset internasional. Resource: investasi seri A-B, tim 500+ karyawan, infrastruktur cloud scalable. Indikator: Rp 500 miliar transaksi/bulan, SHU terdistribusi Rp 50 miliar/tahun, cakupan 50% desa Indonesia.</w:t>
      </w:r>
    </w:p>
    <w:p>
      <w:pPr>
        <w:pStyle w:val="Heading1"/>
      </w:pPr>
      <w:r>
        <w:rPr>
          <w:rFonts w:ascii="SimHei" w:hAnsi="SimHei" w:eastAsia="SimHei"/>
          <w:color w:val="0F2027"/>
        </w:rPr>
        <w:t>5.3 Fase 3: Maturasi (2035-2050)</w:t>
      </w:r>
    </w:p>
    <w:p>
      <w:pPr>
        <w:spacing w:line="360" w:lineRule="exact"/>
        <w:ind w:firstLine="420"/>
      </w:pPr>
      <w:r>
        <w:rPr>
          <w:rFonts w:ascii="Microsoft YaHei" w:hAnsi="Microsoft YaHei" w:eastAsia="Microsoft YaHei"/>
          <w:b w:val="0"/>
          <w:i w:val="0"/>
          <w:color w:val="1C2A3D"/>
          <w:sz w:val="22"/>
        </w:rPr>
        <w:t>Target: 10 juta anggota, 83.763 desa (100% cakupan), setara Mondragon Corporation. Aktivitas: ekspansi internasional ke 15+ negara, peluncuran sovereign digital currency, pembangunan KNBMP University, peluncuran Indonesia Sovereign Wealth Fund berbasis koperasi. Resource: self-sustaining financial model, tim 5.000+ karyawan, jaringan 100.000+ kader digital. Indikator: Rp 2.000 triliun transaksi/tahun, kontribusi 5%+ PDB Indonesia, pengakuan sebagai model ekonomi rakyat terbaik dunia.</w:t>
      </w:r>
    </w:p>
    <w:p>
      <w:pPr>
        <w:pStyle w:val="Heading1"/>
      </w:pPr>
      <w:r>
        <w:rPr>
          <w:rFonts w:ascii="SimHei" w:hAnsi="SimHei" w:eastAsia="SimHei"/>
          <w:color w:val="0F2027"/>
        </w:rPr>
        <w:t>BAGIAN VI: DAMPAK YANG DIHARAPKAN</w:t>
      </w:r>
    </w:p>
    <w:p>
      <w:pPr>
        <w:pStyle w:val="Heading1"/>
      </w:pPr>
      <w:r>
        <w:rPr>
          <w:rFonts w:ascii="SimHei" w:hAnsi="SimHei" w:eastAsia="SimHei"/>
          <w:color w:val="0F2027"/>
        </w:rPr>
        <w:t>6.1 Dampak Ekonomi</w:t>
      </w:r>
    </w:p>
    <w:p>
      <w:pPr>
        <w:spacing w:line="360" w:lineRule="exact"/>
        <w:ind w:firstLine="420"/>
      </w:pPr>
      <w:r>
        <w:rPr>
          <w:rFonts w:ascii="Microsoft YaHei" w:hAnsi="Microsoft YaHei" w:eastAsia="Microsoft YaHei"/>
          <w:b w:val="0"/>
          <w:i w:val="0"/>
          <w:color w:val="1C2A3D"/>
          <w:sz w:val="22"/>
        </w:rPr>
        <w:t>Peningkatan pendapatan anggota 300-500% dalam 10 tahun melalui akses langsung ke pasar, eliminasi tengkulak, dan efisiensi logistik. Penciptaan 5+ juta lapangan kerja baru — kader digital, agen logistik, manajer BUMDes terlatih. Kontribusi PDB diperkirakan 5% pada 2045. Pengurangan kemiskinan melalui SHU adil, pembiayaan tanpa agunan, dan program pemberdayaan terstruktur. Gini ratio target turun dari 0,38 ke &lt;0,25.</w:t>
      </w:r>
    </w:p>
    <w:p>
      <w:pPr>
        <w:pStyle w:val="Heading1"/>
      </w:pPr>
      <w:r>
        <w:rPr>
          <w:rFonts w:ascii="SimHei" w:hAnsi="SimHei" w:eastAsia="SimHei"/>
          <w:color w:val="0F2027"/>
        </w:rPr>
        <w:t>6.2 Dampak Sosial</w:t>
      </w:r>
    </w:p>
    <w:p>
      <w:pPr>
        <w:spacing w:line="360" w:lineRule="exact"/>
        <w:ind w:firstLine="420"/>
      </w:pPr>
      <w:r>
        <w:rPr>
          <w:rFonts w:ascii="Microsoft YaHei" w:hAnsi="Microsoft YaHei" w:eastAsia="Microsoft YaHei"/>
          <w:b w:val="0"/>
          <w:i w:val="0"/>
          <w:color w:val="1C2A3D"/>
          <w:sz w:val="22"/>
        </w:rPr>
        <w:t>5+ juta keluarga terintegrasi dalam komunitas ekonomi KNBMP, social capital meningkat, gotong royong menjadi norma. Peningkatan literasi digital dan finansial 10+ juta orang via JE-P3 Academy. Penguatan tejido sosial — komunitas terhubung secara ekonomi cenderung lebih kohesif, toleran, dan resilient. Pengurangan kesenjangan kota-desa, Jawa-luar Jawa, laki-perempuan.</w:t>
      </w:r>
    </w:p>
    <w:p>
      <w:pPr>
        <w:pStyle w:val="Heading1"/>
      </w:pPr>
      <w:r>
        <w:rPr>
          <w:rFonts w:ascii="SimHei" w:hAnsi="SimHei" w:eastAsia="SimHei"/>
          <w:color w:val="0F2027"/>
        </w:rPr>
        <w:t>6.3 Dampak Lingkungan</w:t>
      </w:r>
    </w:p>
    <w:p>
      <w:pPr>
        <w:spacing w:line="360" w:lineRule="exact"/>
        <w:ind w:firstLine="420"/>
      </w:pPr>
      <w:r>
        <w:rPr>
          <w:rFonts w:ascii="Microsoft YaHei" w:hAnsi="Microsoft YaHei" w:eastAsia="Microsoft YaHei"/>
          <w:b w:val="0"/>
          <w:i w:val="0"/>
          <w:color w:val="1C2A3D"/>
          <w:sz w:val="22"/>
        </w:rPr>
        <w:t>Praktik berkelanjutan didorong melalui Carbon Credits — insentif ekonomi bagi praktik ramah lingkungan. Efisiensi logistik mengurangi emisi per paket, rantai pasok pendek mengurangi food miles, ekonomi sirkular mengurangi limbah pertanian melalui pemrosesan lokal. KNBMP membuktikan kelestarian bisa menjadi sumber pendapatan, bukan biaya.</w:t>
      </w:r>
    </w:p>
    <w:p>
      <w:pPr>
        <w:pStyle w:val="Heading1"/>
      </w:pPr>
      <w:r>
        <w:rPr>
          <w:rFonts w:ascii="SimHei" w:hAnsi="SimHei" w:eastAsia="SimHei"/>
          <w:color w:val="0F2027"/>
        </w:rPr>
        <w:t>6.4 Dampak Peradaban</w:t>
      </w:r>
    </w:p>
    <w:p>
      <w:pPr>
        <w:spacing w:line="360" w:lineRule="exact"/>
        <w:ind w:firstLine="420"/>
      </w:pPr>
      <w:r>
        <w:rPr>
          <w:rFonts w:ascii="Microsoft YaHei" w:hAnsi="Microsoft YaHei" w:eastAsia="Microsoft YaHei"/>
          <w:b w:val="0"/>
          <w:i w:val="0"/>
          <w:color w:val="1C2A3D"/>
          <w:sz w:val="22"/>
        </w:rPr>
        <w:t>KNBMP menjadi model bagi dunia tentang bagaimana ekonomi rakyat bisa bersaing dengan kapitalisme korporat. Warisan berupa model dan wisdom yang bisa direplikasi, bukan sekadar uang atau aset. Gotong royong, musyawarah, kekeluargaan — bukan nilai kuno, melainkan fondasi model ekonomi yang lebih adil dan berkelanjutan. Perubahan paradigma: dari "profit OR purpose" ke "profit WITH purpose".</w:t>
      </w:r>
    </w:p>
    <w:p>
      <w:pPr>
        <w:pStyle w:val="Heading1"/>
      </w:pPr>
      <w:r>
        <w:rPr>
          <w:rFonts w:ascii="SimHei" w:hAnsi="SimHei" w:eastAsia="SimHei"/>
          <w:color w:val="0F2027"/>
        </w:rPr>
        <w:t>BAGIAN VII: RISIKO DAN MITIGASI</w:t>
      </w:r>
    </w:p>
    <w:p>
      <w:pPr>
        <w:spacing w:line="360" w:lineRule="exact"/>
        <w:ind w:firstLine="420"/>
      </w:pPr>
      <w:r>
        <w:rPr>
          <w:rFonts w:ascii="Microsoft YaHei" w:hAnsi="Microsoft YaHei" w:eastAsia="Microsoft YaHei"/>
          <w:b w:val="0"/>
          <w:i w:val="0"/>
          <w:color w:val="1C2A3D"/>
          <w:sz w:val="22"/>
        </w:rPr>
      </w:r>
    </w:p>
    <w:tbl>
      <w:tblPr>
        <w:tblW w:type="auto" w:w="0"/>
        <w:jc w:val="center"/>
        <w:tblLook w:firstColumn="1" w:firstRow="1" w:lastColumn="0" w:lastRow="0" w:noHBand="0" w:noVBand="1" w:val="04A0"/>
      </w:tblPr>
      <w:tblGrid>
        <w:gridCol w:w="2929"/>
        <w:gridCol w:w="2929"/>
        <w:gridCol w:w="2929"/>
      </w:tblGrid>
      <w:tr>
        <w:tc>
          <w:tcPr>
            <w:tcW w:type="dxa" w:w="2929"/>
            <w:shd w:fill="0F2027" w:val="clear"/>
          </w:tcPr>
          <w:p>
            <w:r/>
            <w:r>
              <w:rPr>
                <w:rFonts w:ascii="Microsoft YaHei" w:hAnsi="Microsoft YaHei" w:eastAsia="Microsoft YaHei"/>
                <w:b/>
                <w:color w:val="FFFFFF"/>
                <w:sz w:val="20"/>
              </w:rPr>
              <w:t>Risiko</w:t>
            </w:r>
          </w:p>
        </w:tc>
        <w:tc>
          <w:tcPr>
            <w:tcW w:type="dxa" w:w="2929"/>
            <w:shd w:fill="0F2027" w:val="clear"/>
          </w:tcPr>
          <w:p>
            <w:r/>
            <w:r>
              <w:rPr>
                <w:rFonts w:ascii="Microsoft YaHei" w:hAnsi="Microsoft YaHei" w:eastAsia="Microsoft YaHei"/>
                <w:b/>
                <w:color w:val="FFFFFF"/>
                <w:sz w:val="20"/>
              </w:rPr>
              <w:t>Deskripsi</w:t>
            </w:r>
          </w:p>
        </w:tc>
        <w:tc>
          <w:tcPr>
            <w:tcW w:type="dxa" w:w="2929"/>
            <w:shd w:fill="0F2027" w:val="clear"/>
          </w:tcPr>
          <w:p>
            <w:r/>
            <w:r>
              <w:rPr>
                <w:rFonts w:ascii="Microsoft YaHei" w:hAnsi="Microsoft YaHei" w:eastAsia="Microsoft YaHei"/>
                <w:b/>
                <w:color w:val="FFFFFF"/>
                <w:sz w:val="20"/>
              </w:rPr>
              <w:t>Mitigasi</w:t>
            </w:r>
          </w:p>
        </w:tc>
      </w:tr>
      <w:tr>
        <w:tc>
          <w:tcPr>
            <w:tcW w:type="dxa" w:w="2929"/>
            <w:shd w:fill="F5F7FA" w:val="clear"/>
          </w:tcPr>
          <w:p>
            <w:r/>
            <w:r>
              <w:rPr>
                <w:rFonts w:ascii="Microsoft YaHei" w:hAnsi="Microsoft YaHei" w:eastAsia="Microsoft YaHei"/>
                <w:sz w:val="20"/>
              </w:rPr>
              <w:t>Operasional</w:t>
            </w:r>
          </w:p>
        </w:tc>
        <w:tc>
          <w:tcPr>
            <w:tcW w:type="dxa" w:w="2929"/>
            <w:shd w:fill="F5F7FA" w:val="clear"/>
          </w:tcPr>
          <w:p>
            <w:r/>
            <w:r>
              <w:rPr>
                <w:rFonts w:ascii="Microsoft YaHei" w:hAnsi="Microsoft YaHei" w:eastAsia="Microsoft YaHei"/>
                <w:sz w:val="20"/>
              </w:rPr>
              <w:t>Kegagalan eksekusi di tingkat desa, kualitas kader tidak merata</w:t>
            </w:r>
          </w:p>
        </w:tc>
        <w:tc>
          <w:tcPr>
            <w:tcW w:type="dxa" w:w="2929"/>
            <w:shd w:fill="F5F7FA" w:val="clear"/>
          </w:tcPr>
          <w:p>
            <w:r/>
            <w:r>
              <w:rPr>
                <w:rFonts w:ascii="Microsoft YaHei" w:hAnsi="Microsoft YaHei" w:eastAsia="Microsoft YaHei"/>
                <w:sz w:val="20"/>
              </w:rPr>
              <w:t>Pelatihan intensif, monitoring real-time via dashboard, mekanisme feedback cepat</w:t>
            </w:r>
          </w:p>
        </w:tc>
      </w:tr>
      <w:tr>
        <w:tc>
          <w:tcPr>
            <w:tcW w:type="dxa" w:w="2929"/>
          </w:tcPr>
          <w:p>
            <w:r/>
            <w:r>
              <w:rPr>
                <w:rFonts w:ascii="Microsoft YaHei" w:hAnsi="Microsoft YaHei" w:eastAsia="Microsoft YaHei"/>
                <w:sz w:val="20"/>
              </w:rPr>
              <w:t>Finansial</w:t>
            </w:r>
          </w:p>
        </w:tc>
        <w:tc>
          <w:tcPr>
            <w:tcW w:type="dxa" w:w="2929"/>
          </w:tcPr>
          <w:p>
            <w:r/>
            <w:r>
              <w:rPr>
                <w:rFonts w:ascii="Microsoft YaHei" w:hAnsi="Microsoft YaHei" w:eastAsia="Microsoft YaHei"/>
                <w:sz w:val="20"/>
              </w:rPr>
              <w:t>Cash flow negatif di fase awal, ketergantungan simpanan pokok</w:t>
            </w:r>
          </w:p>
        </w:tc>
        <w:tc>
          <w:tcPr>
            <w:tcW w:type="dxa" w:w="2929"/>
          </w:tcPr>
          <w:p>
            <w:r/>
            <w:r>
              <w:rPr>
                <w:rFonts w:ascii="Microsoft YaHei" w:hAnsi="Microsoft YaHei" w:eastAsia="Microsoft YaHei"/>
                <w:sz w:val="20"/>
              </w:rPr>
              <w:t>Pembiayaan bertahap, diversifikasi revenue stream, cadangan risiko 20% aset</w:t>
            </w:r>
          </w:p>
        </w:tc>
      </w:tr>
      <w:tr>
        <w:tc>
          <w:tcPr>
            <w:tcW w:type="dxa" w:w="2929"/>
            <w:shd w:fill="F5F7FA" w:val="clear"/>
          </w:tcPr>
          <w:p>
            <w:r/>
            <w:r>
              <w:rPr>
                <w:rFonts w:ascii="Microsoft YaHei" w:hAnsi="Microsoft YaHei" w:eastAsia="Microsoft YaHei"/>
                <w:sz w:val="20"/>
              </w:rPr>
              <w:t>Regulasi</w:t>
            </w:r>
          </w:p>
        </w:tc>
        <w:tc>
          <w:tcPr>
            <w:tcW w:type="dxa" w:w="2929"/>
            <w:shd w:fill="F5F7FA" w:val="clear"/>
          </w:tcPr>
          <w:p>
            <w:r/>
            <w:r>
              <w:rPr>
                <w:rFonts w:ascii="Microsoft YaHei" w:hAnsi="Microsoft YaHei" w:eastAsia="Microsoft YaHei"/>
                <w:sz w:val="20"/>
              </w:rPr>
              <w:t>Perubahan kebijakan koperasi, regulasi baru</w:t>
            </w:r>
          </w:p>
        </w:tc>
        <w:tc>
          <w:tcPr>
            <w:tcW w:type="dxa" w:w="2929"/>
            <w:shd w:fill="F5F7FA" w:val="clear"/>
          </w:tcPr>
          <w:p>
            <w:r/>
            <w:r>
              <w:rPr>
                <w:rFonts w:ascii="Microsoft YaHei" w:hAnsi="Microsoft YaHei" w:eastAsia="Microsoft YaHei"/>
                <w:sz w:val="20"/>
              </w:rPr>
              <w:t>Tim legal dedicated, hubungan Kemenkop, partisipasi penyusunan regulasi</w:t>
            </w:r>
          </w:p>
        </w:tc>
      </w:tr>
      <w:tr>
        <w:tc>
          <w:tcPr>
            <w:tcW w:type="dxa" w:w="2929"/>
          </w:tcPr>
          <w:p>
            <w:r/>
            <w:r>
              <w:rPr>
                <w:rFonts w:ascii="Microsoft YaHei" w:hAnsi="Microsoft YaHei" w:eastAsia="Microsoft YaHei"/>
                <w:sz w:val="20"/>
              </w:rPr>
              <w:t>Kompetitif</w:t>
            </w:r>
          </w:p>
        </w:tc>
        <w:tc>
          <w:tcPr>
            <w:tcW w:type="dxa" w:w="2929"/>
          </w:tcPr>
          <w:p>
            <w:r/>
            <w:r>
              <w:rPr>
                <w:rFonts w:ascii="Microsoft YaHei" w:hAnsi="Microsoft YaHei" w:eastAsia="Microsoft YaHei"/>
                <w:sz w:val="20"/>
              </w:rPr>
              <w:t>Platform besar masuk dengan model serupa</w:t>
            </w:r>
          </w:p>
        </w:tc>
        <w:tc>
          <w:tcPr>
            <w:tcW w:type="dxa" w:w="2929"/>
          </w:tcPr>
          <w:p>
            <w:r/>
            <w:r>
              <w:rPr>
                <w:rFonts w:ascii="Microsoft YaHei" w:hAnsi="Microsoft YaHei" w:eastAsia="Microsoft YaHei"/>
                <w:sz w:val="20"/>
              </w:rPr>
              <w:t>First mover advantage, network effects, community trust sulit ditiru</w:t>
            </w:r>
          </w:p>
        </w:tc>
      </w:tr>
      <w:tr>
        <w:tc>
          <w:tcPr>
            <w:tcW w:type="dxa" w:w="2929"/>
            <w:shd w:fill="F5F7FA" w:val="clear"/>
          </w:tcPr>
          <w:p>
            <w:r/>
            <w:r>
              <w:rPr>
                <w:rFonts w:ascii="Microsoft YaHei" w:hAnsi="Microsoft YaHei" w:eastAsia="Microsoft YaHei"/>
                <w:sz w:val="20"/>
              </w:rPr>
              <w:t>Teknologi</w:t>
            </w:r>
          </w:p>
        </w:tc>
        <w:tc>
          <w:tcPr>
            <w:tcW w:type="dxa" w:w="2929"/>
            <w:shd w:fill="F5F7FA" w:val="clear"/>
          </w:tcPr>
          <w:p>
            <w:r/>
            <w:r>
              <w:rPr>
                <w:rFonts w:ascii="Microsoft YaHei" w:hAnsi="Microsoft YaHei" w:eastAsia="Microsoft YaHei"/>
                <w:sz w:val="20"/>
              </w:rPr>
              <w:t>Kegagalan sistem, keamanan data, downtime</w:t>
            </w:r>
          </w:p>
        </w:tc>
        <w:tc>
          <w:tcPr>
            <w:tcW w:type="dxa" w:w="2929"/>
            <w:shd w:fill="F5F7FA" w:val="clear"/>
          </w:tcPr>
          <w:p>
            <w:r/>
            <w:r>
              <w:rPr>
                <w:rFonts w:ascii="Microsoft YaHei" w:hAnsi="Microsoft YaHei" w:eastAsia="Microsoft YaHei"/>
                <w:sz w:val="20"/>
              </w:rPr>
              <w:t>ISO 27001, disaster recovery, audit berkala, bug bounty</w:t>
            </w:r>
          </w:p>
        </w:tc>
      </w:tr>
      <w:tr>
        <w:tc>
          <w:tcPr>
            <w:tcW w:type="dxa" w:w="2929"/>
          </w:tcPr>
          <w:p>
            <w:r/>
            <w:r>
              <w:rPr>
                <w:rFonts w:ascii="Microsoft YaHei" w:hAnsi="Microsoft YaHei" w:eastAsia="Microsoft YaHei"/>
                <w:sz w:val="20"/>
              </w:rPr>
              <w:t>Sosial</w:t>
            </w:r>
          </w:p>
        </w:tc>
        <w:tc>
          <w:tcPr>
            <w:tcW w:type="dxa" w:w="2929"/>
          </w:tcPr>
          <w:p>
            <w:r/>
            <w:r>
              <w:rPr>
                <w:rFonts w:ascii="Microsoft YaHei" w:hAnsi="Microsoft YaHei" w:eastAsia="Microsoft YaHei"/>
                <w:sz w:val="20"/>
              </w:rPr>
              <w:t>Resistance tengkulak, kultur birokrasi desa</w:t>
            </w:r>
          </w:p>
        </w:tc>
        <w:tc>
          <w:tcPr>
            <w:tcW w:type="dxa" w:w="2929"/>
          </w:tcPr>
          <w:p>
            <w:r/>
            <w:r>
              <w:rPr>
                <w:rFonts w:ascii="Microsoft YaHei" w:hAnsi="Microsoft YaHei" w:eastAsia="Microsoft YaHei"/>
                <w:sz w:val="20"/>
              </w:rPr>
              <w:t>Pendekatan kolaboratif, bukti nyata manfaat, dukungan pemerintah desa</w:t>
            </w:r>
          </w:p>
        </w:tc>
      </w:tr>
      <w:tr>
        <w:tc>
          <w:tcPr>
            <w:tcW w:type="dxa" w:w="2929"/>
            <w:shd w:fill="F5F7FA" w:val="clear"/>
          </w:tcPr>
          <w:p>
            <w:r/>
            <w:r>
              <w:rPr>
                <w:rFonts w:ascii="Microsoft YaHei" w:hAnsi="Microsoft YaHei" w:eastAsia="Microsoft YaHei"/>
                <w:sz w:val="20"/>
              </w:rPr>
              <w:t>Elite Capture</w:t>
            </w:r>
          </w:p>
        </w:tc>
        <w:tc>
          <w:tcPr>
            <w:tcW w:type="dxa" w:w="2929"/>
            <w:shd w:fill="F5F7FA" w:val="clear"/>
          </w:tcPr>
          <w:p>
            <w:r/>
            <w:r>
              <w:rPr>
                <w:rFonts w:ascii="Microsoft YaHei" w:hAnsi="Microsoft YaHei" w:eastAsia="Microsoft YaHei"/>
                <w:sz w:val="20"/>
              </w:rPr>
              <w:t>Pengambilalihan kekuasaan kelompok tertentu</w:t>
            </w:r>
          </w:p>
        </w:tc>
        <w:tc>
          <w:tcPr>
            <w:tcW w:type="dxa" w:w="2929"/>
            <w:shd w:fill="F5F7FA" w:val="clear"/>
          </w:tcPr>
          <w:p>
            <w:r/>
            <w:r>
              <w:rPr>
                <w:rFonts w:ascii="Microsoft YaHei" w:hAnsi="Microsoft YaHei" w:eastAsia="Microsoft YaHei"/>
                <w:sz w:val="20"/>
              </w:rPr>
              <w:t>Pentagon Kedaulatan, Anti-Oligarki, voting transparan, pengawasan Dewan Pengawas</w:t>
            </w:r>
          </w:p>
        </w:tc>
      </w:tr>
    </w:tbl>
    <w:p>
      <w:pPr>
        <w:pStyle w:val="Heading1"/>
      </w:pPr>
      <w:r>
        <w:rPr>
          <w:rFonts w:ascii="SimHei" w:hAnsi="SimHei" w:eastAsia="SimHei"/>
          <w:color w:val="0F2027"/>
        </w:rPr>
        <w:t>BAGIAN VIII: KESIMPULAN DAN REKOMENDASI</w:t>
      </w:r>
    </w:p>
    <w:p>
      <w:pPr>
        <w:spacing w:line="360" w:lineRule="exact"/>
        <w:ind w:firstLine="420"/>
      </w:pPr>
      <w:r>
        <w:rPr>
          <w:rFonts w:ascii="Microsoft YaHei" w:hAnsi="Microsoft YaHei" w:eastAsia="Microsoft YaHei"/>
          <w:b w:val="0"/>
          <w:i w:val="0"/>
          <w:color w:val="1C2A3D"/>
          <w:sz w:val="22"/>
        </w:rPr>
        <w:t>KNBMP bukan sekadar koperasi. Ia adalah arsitektur peradaban baru — model yang membuktikan bahwa ekonomi bisa berdaulat, berkeadilan, dan berkelanjutan. Masalah yang dihadapi Indonesia bersifat sistemik, model eksisting tidak memadai, dan KNBMP menawarkan solusi yang teruji, terukur, dan terbukti. KNBMP layak didukung karena: pertama, menggabungkan bukti empiris (data 83.763 desa, 125.000+ anggota awal) dengan inovasi kelembagaan (Pentagon Kedaulatan, 7-Tier). Kedua, memiliki model bisnis viable — unit economics positif, path to profitability jelas, diversifikasi revenue stream. Ketiga, memberikan dampak melampaui profit — ekonomi, sosial, lingkungan, peradaban.</w:t>
      </w:r>
    </w:p>
    <w:p>
      <w:pPr>
        <w:spacing w:line="360" w:lineRule="exact"/>
        <w:ind w:firstLine="420"/>
      </w:pPr>
      <w:r>
        <w:rPr>
          <w:rFonts w:ascii="Microsoft YaHei" w:hAnsi="Microsoft YaHei" w:eastAsia="Microsoft YaHei"/>
          <w:b w:val="0"/>
          <w:i w:val="0"/>
          <w:color w:val="1C2A3D"/>
          <w:sz w:val="22"/>
        </w:rPr>
        <w:t>Langkah selanjutnya: finalisasi platform kopnusa.id versi production dan peluncuran resmi; rekrutmen 10.000 kader digital di 38 provinsi; pembangunan kemitraan strategis dengan pemerintah (KDMP), ekspedisi logistik, dan lembaga keuangan; peluncuran program pilot di 1.000 desa; evaluasi dan iterasi berdasarkan data dan feedback lapangan.</w:t>
      </w:r>
    </w:p>
    <w:p>
      <w:pPr>
        <w:spacing w:before="240" w:after="240"/>
        <w:ind w:left="850" w:right="850"/>
        <w:jc w:val="center"/>
      </w:pPr>
      <w:r>
        <w:rPr>
          <w:rFonts w:ascii="Microsoft YaHei" w:hAnsi="Microsoft YaHei" w:eastAsia="Microsoft YaHei"/>
          <w:i/>
          <w:color w:val="529286"/>
          <w:sz w:val="24"/>
        </w:rPr>
        <w:t>“Ini bukan proposal untuk diapprove. Ini adalah deklarasi bahwa kita akan maju — dengan dukungan atau tanpa dukungan, dengan atau tanpa pemerintah, dengan atau tanpa investor. Karena rakyat tidak bisa menunggu.”</w:t>
      </w:r>
      <w:r>
        <w:rPr>
          <w:i/>
          <w:color w:val="5B6B7D"/>
          <w:sz w:val="20"/>
        </w:rPr>
        <w:br/>
        <w:t>— Gugun Gunara, Grand Architect KNBMP</w:t>
      </w:r>
    </w:p>
    <w:p>
      <w:pPr>
        <w:spacing w:line="360" w:lineRule="exact"/>
        <w:ind w:firstLine="420"/>
      </w:pPr>
      <w:r>
        <w:rPr>
          <w:rFonts w:ascii="Microsoft YaHei" w:hAnsi="Microsoft YaHei" w:eastAsia="Microsoft YaHei"/>
          <w:b w:val="0"/>
          <w:i w:val="0"/>
          <w:color w:val="1C2A3D"/>
          <w:sz w:val="22"/>
        </w:rPr>
      </w:r>
    </w:p>
    <w:p>
      <w:pPr>
        <w:spacing w:line="360" w:lineRule="exact"/>
        <w:jc w:val="center"/>
      </w:pPr>
      <w:r>
        <w:rPr>
          <w:rFonts w:ascii="Microsoft YaHei" w:hAnsi="Microsoft YaHei" w:eastAsia="Microsoft YaHei"/>
          <w:b/>
          <w:i w:val="0"/>
          <w:color w:val="529286"/>
          <w:sz w:val="22"/>
        </w:rPr>
        <w:t>Call to Action: Bergabunglah. Daftar di https://www.kopnusa.id/kpa. Jadilah bagian dari perubahan — bukan sebagai penonton, tapi sebagai pemilik. Karena ekonomi yang berdaulat dimulai dari Anda.</w:t>
      </w:r>
    </w:p>
    <w:p>
      <w:pPr>
        <w:jc w:val="center"/>
      </w:pPr>
      <w:r>
        <w:rPr>
          <w:color w:val="529286"/>
          <w:sz w:val="24"/>
        </w:rPr>
        <w:t>━━━  ✦  ━━━</w:t>
      </w:r>
    </w:p>
    <w:p>
      <w:pPr>
        <w:jc w:val="center"/>
      </w:pPr>
      <w:r>
        <w:rPr>
          <w:color w:val="5B6B7D"/>
          <w:sz w:val="18"/>
        </w:rPr>
        <w:t>Website: https://www.kopnusa.id | Pendaftaran: https://www.kopnusa.id/kpa</w:t>
      </w:r>
    </w:p>
    <w:p>
      <w:pPr>
        <w:jc w:val="center"/>
      </w:pPr>
      <w:r>
        <w:rPr>
          <w:color w:val="5B6B7D"/>
          <w:sz w:val="18"/>
        </w:rPr>
        <w:t>© 2026 KNBMP — Kopi Korporasi Multipihak Nusa Berdikari Merah Putih</w:t>
      </w:r>
    </w:p>
    <w:p>
      <w:pPr>
        <w:pStyle w:val="Heading1"/>
      </w:pPr>
      <w:r>
        <w:rPr>
          <w:rFonts w:ascii="SimHei" w:hAnsi="SimHei" w:eastAsia="SimHei"/>
          <w:color w:val="0F2027"/>
        </w:rPr>
        <w:t>BAGIAN IX: ARSITEKTUR KEUANGAN DAN GOVERNANCE</w:t>
      </w:r>
    </w:p>
    <w:p>
      <w:pPr>
        <w:pStyle w:val="Heading2"/>
      </w:pPr>
      <w:r>
        <w:rPr>
          <w:rFonts w:ascii="SimHei" w:hAnsi="SimHei" w:eastAsia="SimHei"/>
          <w:color w:val="0F2027"/>
        </w:rPr>
        <w:t>9.1 Sistem Simpanan</w:t>
      </w:r>
    </w:p>
    <w:p>
      <w:pPr>
        <w:spacing w:line="360" w:lineRule="exact"/>
        <w:ind w:firstLine="420"/>
      </w:pPr>
      <w:r>
        <w:rPr>
          <w:rFonts w:ascii="Microsoft YaHei" w:hAnsi="Microsoft YaHei" w:eastAsia="Microsoft YaHei"/>
          <w:b w:val="0"/>
          <w:i w:val="0"/>
          <w:color w:val="1C2A3D"/>
          <w:sz w:val="22"/>
        </w:rPr>
        <w:t>KNBMP mengoperasikan tiga jenis simpanan sesuai AD/ART Pasal 18. Simpanan Pokok adalah pembayaran satu kali saat pendaftaran, yang besarnya bervariasi menurut KPA (Rp 100.000 untuk KPA-1 dan KPA-2, Rp 250.000 untuk KPA-3, Rp 5.000.000 untuk KPA-4, dan Rp 50-250 juta untuk KPA-5). Simpanan Wajib adalah iuran berkala yang besarnya juga bervariasi menurut KPA (Rp 50.000/bulan untuk KPA-1 dan KPA-2, Rp 100.000/bulan untuk KPA-3, Rp 1.000.000/bulan untuk KPA-4 dan KPA-5). Simpanan Sukarela adalah simpanan atas kemauan anggota sendiri yang TIDAK mempengaruhi hak suara dalam RAT.</w:t>
      </w:r>
    </w:p>
    <w:p>
      <w:pPr>
        <w:spacing w:line="360" w:lineRule="exact"/>
        <w:ind w:firstLine="420"/>
      </w:pPr>
      <w:r>
        <w:rPr>
          <w:rFonts w:ascii="Microsoft YaHei" w:hAnsi="Microsoft YaHei" w:eastAsia="Microsoft YaHei"/>
          <w:b w:val="0"/>
          <w:i w:val="0"/>
          <w:color w:val="1C2A3D"/>
          <w:sz w:val="22"/>
        </w:rPr>
        <w:t>Yang membedakan KNBMP dari koperasi tradisional adalah Doktrin Invisible Dues (ART Pasal 2). Dalam koperasi konvensional, iuran dipungut secara manual oleh pengurus atau penagih yang datang dari rumah ke rumah. Praktik ini memalukan, tidak efisien, dan sering menjadi sumber konflik. Dalam KNBMP, SEMUA iuran dipotong secara otomatis melalui platform kopnusa.id dan JP3 Pay. Untuk KPA-1 (Produsen), potongan bisa dari hasil penjualan panen atau komisi logistik. Untuk KPA-2 (Konsumen), potongan bisa dari cashback belanja atau sisa kembalian. Untuk KPA-3 (Abdi Negara), potongan via auto-debit dari rekening gaji. Untuk KPA-4 (Bisnis), potongan via subscription operasional. Untuk KPA-5 (Investor), potongan dari dividen SHU. Yang tidak terbayar menjadi piutang internal tanpa bunga dan tanpa denda, tidak ada debt collector, tidak ada penagihan manual.</w:t>
      </w:r>
    </w:p>
    <w:p>
      <w:pPr>
        <w:pStyle w:val="Heading2"/>
      </w:pPr>
      <w:r>
        <w:rPr>
          <w:rFonts w:ascii="SimHei" w:hAnsi="SimHei" w:eastAsia="SimHei"/>
          <w:color w:val="0F2027"/>
        </w:rPr>
        <w:t>9.2 Distribusi SHU</w:t>
      </w:r>
    </w:p>
    <w:p>
      <w:pPr>
        <w:spacing w:line="360" w:lineRule="exact"/>
        <w:ind w:firstLine="420"/>
      </w:pPr>
      <w:r>
        <w:rPr>
          <w:rFonts w:ascii="Microsoft YaHei" w:hAnsi="Microsoft YaHei" w:eastAsia="Microsoft YaHei"/>
          <w:b w:val="0"/>
          <w:i w:val="0"/>
          <w:color w:val="1C2A3D"/>
          <w:sz w:val="22"/>
        </w:rPr>
        <w:t>Sisa Hasil Usaha (SHU) didistribusikan berdasarkan prinsip keadilan partisipatif, bukan proporsional simpanan. Anggota Tier 3 ke atas berhak mendapatkan 40% dari total SHU. Distribusi ini mempertimbangkan aktivitas dan kontribusi anggota dalam ekosistem, bukan besarnya simpanan. Ini berbeda secara fundamental dari koperasi tradisional dimana SHU seringkali didominasi oleh anggota dengan simpanan terbesar. Dalam KNBMP, petani yang aktif bertransaksi melalui marketplace berkontribusi lebih pada ekosistem dibanding investor yang pasif, dan distribusi SHU mencerminkan kontribusi riil ini.</w:t>
      </w:r>
    </w:p>
    <w:p>
      <w:pPr>
        <w:pStyle w:val="Heading2"/>
      </w:pPr>
      <w:r>
        <w:rPr>
          <w:rFonts w:ascii="SimHei" w:hAnsi="SimHei" w:eastAsia="SimHei"/>
          <w:color w:val="0F2027"/>
        </w:rPr>
        <w:t>9.3 Perlindungan Investor dan Anti-Bank Rush</w:t>
      </w:r>
    </w:p>
    <w:p>
      <w:pPr>
        <w:spacing w:line="360" w:lineRule="exact"/>
        <w:ind w:firstLine="420"/>
      </w:pPr>
      <w:r>
        <w:rPr>
          <w:rFonts w:ascii="Microsoft YaHei" w:hAnsi="Microsoft YaHei" w:eastAsia="Microsoft YaHei"/>
          <w:b w:val="0"/>
          <w:i w:val="0"/>
          <w:color w:val="1C2A3D"/>
          <w:sz w:val="22"/>
        </w:rPr>
        <w:t>KNBMP mengakui bahwa investor adalah mitra penting dalam ekosistem, namun kedaulatan rakyat tidak boleh dikorbankan demi kepentingan investor. Oleh karena itu, ART mengatur empat lapis perlindungan: Pertama, Anti-Oligarki (Pasal 7) menjamin bahwa investor tidak bisa menguasai keputusan strategis meskipun mereka memiliki modal terbesar. Kedua, KYC/AML (Pasal 8) memastikan bahwa hanya investor yang bersih dari aktivitas ilegal yang bisa bergabung. Ketiga, Lock-up Period (Pasal 9) mencegah penarikan mendadak yang bisa mengancam stabilitas keuangan koperasi. Keempat, Escrow Mandatory (Pasal 10) memastikan bahwa dana investasi tidak bercampur dengan dana operasional dan selalu bisa diaudit secara independen.</w:t>
      </w:r>
    </w:p>
    <w:p>
      <w:pPr>
        <w:pStyle w:val="Heading2"/>
      </w:pPr>
      <w:r>
        <w:rPr>
          <w:rFonts w:ascii="SimHei" w:hAnsi="SimHei" w:eastAsia="SimHei"/>
          <w:color w:val="0F2027"/>
        </w:rPr>
        <w:t>9.4 Exit Strategy untuk Investor</w:t>
      </w:r>
    </w:p>
    <w:p>
      <w:pPr>
        <w:spacing w:line="360" w:lineRule="exact"/>
        <w:ind w:firstLine="420"/>
      </w:pPr>
      <w:r>
        <w:rPr>
          <w:rFonts w:ascii="Microsoft YaHei" w:hAnsi="Microsoft YaHei" w:eastAsia="Microsoft YaHei"/>
          <w:b w:val="0"/>
          <w:i w:val="0"/>
          <w:color w:val="1C2A3D"/>
          <w:sz w:val="22"/>
        </w:rPr>
        <w:t>KNBMP menyediakan mekanisme exit yang teratur dan terprediksi bagi investor yang ingin keluar. Pemberitahuan penarikan minimum 6 bulan diperlukan setelah lock-up period 24 bulan terpenuhi. Penarikan mendadak secara ketat dilarang. Pengembalian dilakukan sesuai prosedur RAT, memastikan bahwa keluarnya satu investor tidak mengganggu stabilitas seluruh ekosistem. Mekanisme ini memastikan bahwa KNBMP tetap menarik bagi investor jangka panjang yang mencari profit dengan purpose, sambil melindungi anggota dari dampak negatif penarikan modal mendadak.</w:t>
      </w:r>
    </w:p>
    <w:p>
      <w:pPr>
        <w:pStyle w:val="Heading1"/>
      </w:pPr>
      <w:r>
        <w:rPr>
          <w:rFonts w:ascii="SimHei" w:hAnsi="SimHei" w:eastAsia="SimHei"/>
          <w:color w:val="0F2027"/>
        </w:rPr>
        <w:t>BAGIAN X: KESelarasan DENGAN PROGRAM PEMERINTAH</w:t>
      </w:r>
    </w:p>
    <w:p>
      <w:pPr>
        <w:spacing w:line="360" w:lineRule="exact"/>
        <w:ind w:firstLine="420"/>
      </w:pPr>
      <w:r>
        <w:rPr>
          <w:rFonts w:ascii="Microsoft YaHei" w:hAnsi="Microsoft YaHei" w:eastAsia="Microsoft YaHei"/>
          <w:b w:val="0"/>
          <w:i w:val="0"/>
          <w:color w:val="1C2A3D"/>
          <w:sz w:val="22"/>
        </w:rPr>
        <w:t>KNBMP bukan pesaing pemerintah. Ia adalah mitra yang memperkuat program pemerintah yang berpihak pada rakyat. Pada tahun 2026, pemerintah Indonesia meluncurkan program Koperasi Desa Merah Putih (KDMP) dengan target 80.081 unit koperasi desa. KNBMP selaras dengan program ini dan bisa menjadi platform digital yang mengintegrasikan KDMP ke dalam ekosistem yang lebih luas. Melalui integrasi dengan SID (Kemendesa), Prodeskel (Kemendagri), Siskeudes (BPKP), dan KDMP Portal (Kemenkop), KNBMP bisa menjadi Digital Nervous System yang menghubungkan seluruh infrastruktur digital pemerintah yang saat ini beroperasi dalam silo.</w:t>
      </w:r>
    </w:p>
    <w:p>
      <w:pPr>
        <w:spacing w:line="360" w:lineRule="exact"/>
        <w:ind w:firstLine="420"/>
      </w:pPr>
      <w:r>
        <w:rPr>
          <w:rFonts w:ascii="Microsoft YaHei" w:hAnsi="Microsoft YaHei" w:eastAsia="Microsoft YaHei"/>
          <w:b w:val="0"/>
          <w:i w:val="0"/>
          <w:color w:val="1C2A3D"/>
          <w:sz w:val="22"/>
        </w:rPr>
        <w:t>Dana Desa sebesar Rp 60,6 triliun pada 2026 merupakan potensi besar yang belum dioptimalkan. Delapan prioritas Dana Desa (penanganan kemiskinan ekstrem, ketahanan pangan, pembangunan infrastruktur, pemberdayaan ekonomi, lingkungan hidup, pengelolaan sampah, swasembada energi, dan digitalisasi desa) semuanya selaras dengan misi KNBMP. Dengan infrastruktur platform dan jaringan kader digital yang dimiliki, KNBMP bisa menjadi katalis yang memastikan Dana Desa benar-benar mengubah kehidupan di tingkat akar rumput, bukan sekadar mengalir tanpa dampak terukur.</w:t>
      </w:r>
    </w:p>
    <w:p>
      <w:pPr>
        <w:spacing w:line="360" w:lineRule="exact"/>
        <w:ind w:firstLine="420"/>
      </w:pPr>
      <w:r>
        <w:rPr>
          <w:rFonts w:ascii="Microsoft YaHei" w:hAnsi="Microsoft YaHei" w:eastAsia="Microsoft YaHei"/>
          <w:b w:val="0"/>
          <w:i w:val="0"/>
          <w:color w:val="1C2A3D"/>
          <w:sz w:val="22"/>
        </w:rPr>
        <w:t>Instruksi Presiden (Inpres) Nomor 9 Tahun 2025 tentang Gerakan Desa Mandiri dan Inpres Nomor 17 Tahun 2025 tentang Cold Storage Desa menciptakan window of opportunity yang sempurna bagi KNBMP. Platform kopnusa.id dengan Smart Village Dashboard bisa menjadi alat monitoring dan evaluasi yang membantu pemerintah memastikan bahwa program-program ini mencapai targetnya. Kolaborasi, bukan kompetisi, adalah pendekatan KNBMP terhadap pemerintah.</w:t>
      </w:r>
    </w:p>
    <w:p>
      <w:pPr>
        <w:pStyle w:val="Heading1"/>
      </w:pPr>
      <w:r>
        <w:rPr>
          <w:rFonts w:ascii="SimHei" w:hAnsi="SimHei" w:eastAsia="SimHei"/>
          <w:color w:val="0F2027"/>
        </w:rPr>
        <w:t>BAGIAN XI: ROADMAP TEKNOLOGI</w:t>
      </w:r>
    </w:p>
    <w:p>
      <w:pPr>
        <w:spacing w:line="360" w:lineRule="exact"/>
        <w:ind w:firstLine="420"/>
      </w:pPr>
      <w:r>
        <w:rPr>
          <w:rFonts w:ascii="Microsoft YaHei" w:hAnsi="Microsoft YaHei" w:eastAsia="Microsoft YaHei"/>
          <w:b w:val="0"/>
          <w:i w:val="0"/>
          <w:color w:val="1C2A3D"/>
          <w:sz w:val="22"/>
        </w:rPr>
        <w:t>Roadmap teknologi KNBMP dirancang dalam tiga fase yang sejalan dengan strategi implementasi bisnis. Fase Fondasi (2026-2030) berfokus pada pembangunan platform core: Smart Village Dashboard untuk monitoring real-time, E-Voting untuk RAT digital, JP3 Pay untuk transaksi dan auto-deduction, dan integrasi API dengan sistem pemerintah (SID, Prodeskel, Siskeudes). Keamanan dijamin dengan sertifikasi ISO 27001 dan enkripsi end-to-end.</w:t>
      </w:r>
    </w:p>
    <w:p>
      <w:pPr>
        <w:spacing w:line="360" w:lineRule="exact"/>
        <w:ind w:firstLine="420"/>
      </w:pPr>
      <w:r>
        <w:rPr>
          <w:rFonts w:ascii="Microsoft YaHei" w:hAnsi="Microsoft YaHei" w:eastAsia="Microsoft YaHei"/>
          <w:b w:val="0"/>
          <w:i w:val="0"/>
          <w:color w:val="1C2A3D"/>
          <w:sz w:val="22"/>
        </w:rPr>
        <w:t>Fase Skala (2030-2035) akan memperkenalkan kemampuan AI dan IoT: AI untuk prediksi harga pasar pertanian dan perikanan, rekomendasi tanam berdasarkan data iklim, dan credit scoring alternatif untuk anggota tanpa riwayat kredit formal. IoT untuk monitoring rantai dingin (cold chain), sensor kualitas tanah dan air, serta tracking logistik real-time. Smart contracts akan mulai diimplementasikan untuk otomatisasi governance, termasuk distribusi SHU otomatis dan eksekusi kontrak bagi hasil.</w:t>
      </w:r>
    </w:p>
    <w:p>
      <w:pPr>
        <w:spacing w:line="360" w:lineRule="exact"/>
        <w:ind w:firstLine="420"/>
      </w:pPr>
      <w:r>
        <w:rPr>
          <w:rFonts w:ascii="Microsoft YaHei" w:hAnsi="Microsoft YaHei" w:eastAsia="Microsoft YaHei"/>
          <w:b w:val="0"/>
          <w:i w:val="0"/>
          <w:color w:val="1C2A3D"/>
          <w:sz w:val="22"/>
        </w:rPr>
        <w:t>Fase Maturasi (2035-2050) akan melihat peluncuran sovereign digital currency untuk ekosistem KNBMP, memberikan kemandirian penuh dalam transaksi internal tanpa bergantung pada sistem pembayaran eksternal. KNBMP University akan menjadi pusat riset dan pengembangan teknologi koperasi digital, melatih generasi baru engineer dan ekonom yang akan membawa model ini ke seluruh dunia. Pada akhir fase ini, targetnya adalah KNBMP memiliki infrastruktur teknologi yang setara dengan perusahaan teknologi terbesar di dunia, namun dengan governance yang demokratis dan purpose yang humanis.</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