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p>
            <w:pPr>
              <w:spacing w:before="3200"/>
            </w:pPr>
          </w:p>
          <w:p>
            <w:pPr>
              <w:pBdr>
                <w:top w:val="single" w:color="008F3D" w:sz="18" w:space="20"/>
              </w:pBdr>
              <w:ind w:left="1200" w:right="1200"/>
              <w:jc w:val="center"/>
            </w:pPr>
          </w:p>
          <w:p>
            <w:pPr>
              <w:spacing w:before="400"/>
              <w:jc w:val="center"/>
            </w:pPr>
            <w:r>
              <w:rPr>
                <w:rFonts w:ascii="Calibri" w:eastAsia="SimHei"/>
                <w:b/>
                <w:bCs/>
                <w:color w:val="FFFFFF"/>
                <w:sz w:val="56"/>
                <w:szCs w:val="56"/>
              </w:rPr>
              <w:t xml:space="preserve">Story of Origin</w:t>
            </w:r>
          </w:p>
          <w:p>
            <w:pPr>
              <w:spacing w:before="100"/>
              <w:jc w:val="center"/>
            </w:pPr>
            <w:r>
              <w:rPr>
                <w:rFonts w:ascii="Calibri" w:eastAsia="SimHei"/>
                <w:b/>
                <w:bCs/>
                <w:color w:val="C9A84C"/>
                <w:sz w:val="36"/>
                <w:szCs w:val="36"/>
              </w:rPr>
              <w:t xml:space="preserve">Narasi Asal-Usul KNBMP</w:t>
            </w:r>
          </w:p>
          <w:p>
            <w:pPr>
              <w:spacing w:before="300"/>
              <w:jc w:val="center"/>
            </w:pPr>
            <w:r>
              <w:rPr>
                <w:rFonts w:ascii="Calibri" w:eastAsia="Microsoft YaHei"/>
                <w:color w:val="B0C8C0"/>
                <w:sz w:val="22"/>
                <w:szCs w:val="22"/>
              </w:rPr>
              <w:t xml:space="preserve">Kopi Korporasi Multipihak Nusa Berdikari Merah Putih</w:t>
            </w:r>
          </w:p>
          <w:p>
            <w:pPr>
              <w:spacing w:before="120"/>
              <w:jc w:val="center"/>
            </w:pPr>
            <w:r>
              <w:rPr>
                <w:rFonts w:ascii="Calibri" w:eastAsia="Microsoft YaHei"/>
                <w:color w:val="90A8A0"/>
                <w:sz w:val="20"/>
                <w:szCs w:val="20"/>
              </w:rPr>
              <w:t xml:space="preserve">Klasifikasi: TIER SOVEREIGN-72</w:t>
            </w:r>
          </w:p>
          <w:p>
            <w:pPr>
              <w:spacing w:before="120"/>
              <w:jc w:val="center"/>
            </w:pPr>
            <w:r>
              <w:rPr>
                <w:rFonts w:ascii="Calibri" w:eastAsia="Microsoft YaHei"/>
                <w:color w:val="90A8A0"/>
                <w:sz w:val="20"/>
                <w:szCs w:val="20"/>
              </w:rPr>
              <w:t xml:space="preserve">Ditetapkan: 21 Maret 2026 | Jakarta, Indonesia</w:t>
            </w:r>
          </w:p>
          <w:p>
            <w:pPr>
              <w:spacing w:before="120"/>
              <w:jc w:val="center"/>
            </w:pPr>
            <w:r>
              <w:rPr>
                <w:rFonts w:ascii="Calibri" w:eastAsia="Microsoft YaHei"/>
                <w:color w:val="90A8A0"/>
                <w:sz w:val="20"/>
                <w:szCs w:val="20"/>
              </w:rPr>
              <w:t xml:space="preserve">Dokumen PGA-04 | Versi 1.0</w:t>
            </w:r>
          </w:p>
          <w:p>
            <w:pPr>
              <w:pBdr>
                <w:bottom w:val="single" w:color="008F3D" w:sz="18" w:space="20"/>
              </w:pBdr>
              <w:spacing w:before="300"/>
              <w:ind w:left="1200" w:right="1200"/>
            </w:pPr>
          </w:p>
          <w:p>
            <w:pPr>
              <w:spacing w:before="600"/>
              <w:jc w:val="center"/>
            </w:pPr>
            <w:r>
              <w:rPr>
                <w:rFonts w:ascii="Calibri" w:eastAsia="Microsoft YaHei"/>
                <w:i/>
                <w:iCs/>
                <w:color w:val="B0C8C0"/>
                <w:sz w:val="22"/>
                <w:szCs w:val="22"/>
              </w:rPr>
              <w:t xml:space="preserve">“Sistem yang tidak adil bisa diubah — bukan dengan menghancurkan,</w:t>
            </w:r>
          </w:p>
          <w:p>
            <w:pPr>
              <w:jc w:val="center"/>
            </w:pPr>
            <w:r>
              <w:rPr>
                <w:rFonts w:ascii="Calibri" w:eastAsia="Microsoft YaHei"/>
                <w:i/>
                <w:iCs/>
                <w:color w:val="B0C8C0"/>
                <w:sz w:val="22"/>
                <w:szCs w:val="22"/>
              </w:rPr>
              <w:t xml:space="preserve">melainkan dengan membangun alternatif yang lebih baik.”</w:t>
            </w:r>
          </w:p>
        </w:tc>
      </w:tr>
    </w:tbl>
    <w:p>
      <w:pPr>
        <w:sectPr>
          <w:pgSz w:w="11906" w:h="16838" w:orient="portrait"/>
          <w:pgMar w:top="0" w:right="0" w:bottom="0" w:left="0" w:header="708" w:footer="708" w:gutter="0"/>
          <w:pgNumType/>
          <w:docGrid w:linePitch="360"/>
        </w:sectPr>
      </w:pPr>
    </w:p>
    <w:p>
      <w:pPr>
        <w:pStyle w:val="Heading1"/>
        <w:spacing w:after="200" w:before="480" w:line="400"/>
      </w:pPr>
      <w:r>
        <w:rPr>
          <w:rFonts w:ascii="Calibri" w:eastAsia="SimHei"/>
          <w:b/>
          <w:bCs/>
          <w:color w:val="0C1F1A"/>
          <w:sz w:val="32"/>
          <w:szCs w:val="32"/>
        </w:rPr>
        <w:t xml:space="preserve">BAGIAN I: PENDAHULUAN — Mengapa Sebuah Narasi Asal-Usul Diperlukan</w:t>
      </w:r>
    </w:p>
    <w:p>
      <w:pPr>
        <w:spacing w:after="120" w:line="312"/>
        <w:ind w:firstLine="420"/>
        <w:jc w:val="both"/>
      </w:pPr>
      <w:r>
        <w:rPr>
          <w:rFonts w:ascii="Calibri" w:eastAsia="Microsoft YaHei"/>
          <w:color w:val="1A2E28"/>
          <w:sz w:val="24"/>
          <w:szCs w:val="24"/>
        </w:rPr>
        <w:t xml:space="preserve">Setiap peradaban besar dimulai dari sebuah kisah. Bukan sekadar kronologi peristiwa, melainkan narasi yang memberi makna atas setiap langkah, setiap pengorbanan, dan setiap terobosan yang mendefinisikan identitas kolektif. KNBMP — Kopi Korporasi Multipihak Nusa Berdikari Merah Putih — bukanlah entitas yang lahir dari kehampaan. Ia lahir dari luka yang dalam, dari frustrasi yang mengakar, dan dari keyakinan tak tergoyahkan bahwa sistem ekonomi yang tidak adil dapat diganti — bukan dengan kekerasan, tetapi dengan membangun alternatif yang lebih baik.</w:t>
      </w:r>
    </w:p>
    <w:p>
      <w:pPr>
        <w:spacing w:after="120" w:line="312"/>
        <w:ind w:firstLine="420"/>
        <w:jc w:val="both"/>
      </w:pPr>
      <w:r>
        <w:rPr>
          <w:rFonts w:ascii="Calibri" w:eastAsia="Microsoft YaHei"/>
          <w:color w:val="1A2E28"/>
          <w:sz w:val="24"/>
          <w:szCs w:val="24"/>
        </w:rPr>
        <w:t xml:space="preserve">Dokumen PGA-04 ini merupakan narasi asal-usul (Story of Origin) yang membentangkan kisah kelam di balik kemiskinan struktural desa Indonesia, evolusi pemikiran yang melahirkan KNBMP, perjalanan para pendiri, dan filosofi yang menjadi napas kehidupan organisasi ini. Narasi ini bukan sekadar catatan sejarah; ia adalah janji yang tertulis, pengingat abadi bagi setiap anggota tentang mengapa KNBMP ada, dan untuk siapa KNBMP berjuang.</w:t>
      </w:r>
    </w:p>
    <w:p>
      <w:pPr>
        <w:spacing w:after="120" w:line="312"/>
        <w:ind w:firstLine="420"/>
        <w:jc w:val="both"/>
      </w:pPr>
      <w:r>
        <w:rPr>
          <w:rFonts w:ascii="Calibri" w:eastAsia="Microsoft YaHei"/>
          <w:color w:val="1A2E28"/>
          <w:sz w:val="24"/>
          <w:szCs w:val="24"/>
        </w:rPr>
        <w:t xml:space="preserve">Dalam tradisi peradaban terbesar dunia, narasi asal-usul memiliki fungsi sakral. Ia bukan dongeng yang dilupakan, melainkan peta kompas yang menuntun arah. Ketika Mondragon Corporation didirikan pada 1956 di tengah puing-puing perang sipil Spanyol, narasi asal-usulnya menjadi alasan mengapa koperasi itu bertahan dan tumbuh menjadi raksasa dengan omzet lebih dari 11 miliar euro. KNBMP, dengan target yang jauh lebih ambisius — mengintegrasikan 83.763 desa Indonesia — membutuhkan narasi yang setara atau bahkan lebih kuat untuk mempertahankan semangat dan arahnya selama beberapa generasi ke depan.</w:t>
      </w:r>
    </w:p>
    <w:p>
      <w:pPr>
        <w:pStyle w:val="Heading1"/>
        <w:spacing w:after="200" w:before="480" w:line="400"/>
      </w:pPr>
      <w:r>
        <w:rPr>
          <w:rFonts w:ascii="Calibri" w:eastAsia="SimHei"/>
          <w:b/>
          <w:bCs/>
          <w:color w:val="0C1F1A"/>
          <w:sz w:val="32"/>
          <w:szCs w:val="32"/>
        </w:rPr>
        <w:t xml:space="preserve">BAGIAN II: NERACA KEMISKINAN STRUKTURAL DESA INDONESIA</w:t>
      </w:r>
    </w:p>
    <w:p>
      <w:pPr>
        <w:pStyle w:val="Heading2"/>
        <w:spacing w:after="160" w:before="360" w:line="360"/>
      </w:pPr>
      <w:r>
        <w:rPr>
          <w:rFonts w:ascii="Calibri" w:eastAsia="SimHei"/>
          <w:b/>
          <w:bCs/>
          <w:color w:val="0C1F1A"/>
          <w:sz w:val="28"/>
          <w:szCs w:val="28"/>
        </w:rPr>
        <w:t xml:space="preserve">2.1 Potret Tiga Warga Negara yang Dikhianati Sistem</w:t>
      </w:r>
    </w:p>
    <w:p>
      <w:pPr>
        <w:spacing w:after="120" w:line="312"/>
        <w:ind w:firstLine="420"/>
        <w:jc w:val="both"/>
      </w:pPr>
      <w:r>
        <w:rPr>
          <w:rFonts w:ascii="Calibri" w:eastAsia="Microsoft YaHei"/>
          <w:color w:val="1A2E28"/>
          <w:sz w:val="24"/>
          <w:szCs w:val="24"/>
        </w:rPr>
        <w:t xml:space="preserve">Untuk memahami kenapa KNBMP harus lahir, kita harus melihat wajah-wajah yang menjadi bukti kegagalan sistem. Bukan angka statistik yang membosankan, melainkan cerita nyata yang terjadi di setiap sudut Nusantara setiap hari.</w:t>
      </w:r>
    </w:p>
    <w:p>
      <w:pPr>
        <w:pStyle w:val="Heading3"/>
        <w:spacing w:after="120" w:before="280" w:line="340"/>
      </w:pPr>
      <w:r>
        <w:rPr>
          <w:rFonts w:ascii="Calibri" w:eastAsia="SimHei"/>
          <w:b/>
          <w:bCs/>
          <w:color w:val="008F3D"/>
          <w:sz w:val="26"/>
          <w:szCs w:val="26"/>
        </w:rPr>
        <w:t xml:space="preserve">Kisah Pak Hasan — Petani Kopi Bromo yang Terpenjara Rantai Pasok</w:t>
      </w:r>
    </w:p>
    <w:p>
      <w:pPr>
        <w:spacing w:after="120" w:line="312"/>
        <w:ind w:firstLine="420"/>
        <w:jc w:val="both"/>
      </w:pPr>
      <w:r>
        <w:rPr>
          <w:rFonts w:ascii="Calibri" w:eastAsia="Microsoft YaHei"/>
          <w:color w:val="1A2E28"/>
          <w:sz w:val="24"/>
          <w:szCs w:val="24"/>
        </w:rPr>
        <w:t xml:space="preserve">Hasan, 52 tahun, adalah petani kopi arabika di lereng Gunung Bromo, Jawa Timur. Setiap pagi sebelum subuh, ia sudah berada di kebunnya yang berada di ketinggian 1.200 meter di atas permukaan laut. Kopi yang ia tanam adalah varietas gayo yang ditanam di tanah vulkanik — kualitas specialty grade yang di pasaran internasional mencapai harga 15 hingga 25 dolar per kilogram. Namun realitasnya, Hasan hanya menerima Rp 12.000 per kilogram dari tengkulak yang datang setiap musim panen. Dari total produksi tahunan 800 kilogram, pendapatan kotor Hasan hanya sekitar Rp 9,6 juta per tahun — atau sekitar Rp 800.000 per bulan, jauh di bawah upah minimum kabupaten.</w:t>
      </w:r>
    </w:p>
    <w:p>
      <w:pPr>
        <w:spacing w:after="120" w:line="312"/>
        <w:ind w:firstLine="420"/>
        <w:jc w:val="both"/>
      </w:pPr>
      <w:r>
        <w:rPr>
          <w:rFonts w:ascii="Calibri" w:eastAsia="Microsoft YaHei"/>
          <w:color w:val="1A2E28"/>
          <w:sz w:val="24"/>
          <w:szCs w:val="24"/>
        </w:rPr>
        <w:t xml:space="preserve">Mengapa Hasan tidak menjual langsung ke pasar? Karena ia tidak memiliki akses. Tidak ada jalan layak menuju desanya. Tidak ada internet yang memadai untuk marketplace digital. Tidak ada modal untuk pengolahan pasca-panen. Tidak ada sertifikasi yang dibutuhkan untuk memasuki pasar ekspor. Rantai pasok yang seharusnya menjadi jembatan antara produsen dan konsumen justru menjadi penjara yang mengurung Hasan dan jutaan petani lainnya dalam lingkaran kemiskinan yang sulit diputus. Tengkulak, bandar, eksportir — setiap mata rantai mengambil potongan keuntungan yang semakin besar, sementara produsen yang menciptakan nilai riil hanya menerima remah.</w:t>
      </w:r>
    </w:p>
    <w:p>
      <w:pPr>
        <w:spacing w:after="120" w:line="312"/>
        <w:ind w:firstLine="420"/>
        <w:jc w:val="both"/>
      </w:pPr>
      <w:r>
        <w:rPr>
          <w:rFonts w:ascii="Calibri" w:eastAsia="Microsoft YaHei"/>
          <w:color w:val="1A2E28"/>
          <w:sz w:val="24"/>
          <w:szCs w:val="24"/>
        </w:rPr>
        <w:t xml:space="preserve">Kisah Hasan bukan kasus individual. Ia adalah representasi dari sekitar 33 juta petani Indonesia yang hidup di bawah garis kemiskinan atau rentan miskin. Data Kementerian Pertanian menunjukkan bahwa lebih dari 60% pendapatan sektor pertanian diserap oleh perantara, bukan oleh produsen. Ini bukan kebetulan; ini adalah desain sistem yang secara struktural menguntungkan pihak yang memiliki akses modal, informasi, dan jaringan.</w:t>
      </w:r>
    </w:p>
    <w:p>
      <w:pPr>
        <w:pStyle w:val="Heading3"/>
        <w:spacing w:after="120" w:before="280" w:line="340"/>
      </w:pPr>
      <w:r>
        <w:rPr>
          <w:rFonts w:ascii="Calibri" w:eastAsia="SimHei"/>
          <w:b/>
          <w:bCs/>
          <w:color w:val="008F3D"/>
          <w:sz w:val="26"/>
          <w:szCs w:val="26"/>
        </w:rPr>
        <w:t xml:space="preserve">Kisah Pak Jusuf — Nelayan Takalar yang Dipermainkan Cuaca dan Tengkulak</w:t>
      </w:r>
    </w:p>
    <w:p>
      <w:pPr>
        <w:spacing w:after="120" w:line="312"/>
        <w:ind w:firstLine="420"/>
        <w:jc w:val="both"/>
      </w:pPr>
      <w:r>
        <w:rPr>
          <w:rFonts w:ascii="Calibri" w:eastAsia="Microsoft YaHei"/>
          <w:color w:val="1A2E28"/>
          <w:sz w:val="24"/>
          <w:szCs w:val="24"/>
        </w:rPr>
        <w:t xml:space="preserve">Jusuf, 45 tahun, adalah nelayan di perairan Takalar, Sulawesi Selatan. Ia melaut dengan perahu berukuran 7 meter yang sudah berusia 15 tahun, bermesin 15 PK yang sering mogok. Setiap kali melaut, ia menghadapi dua musuh yang tak terlihat: cuaca yang semakin tidak dapat diprediksi akibat perubahan iklim, dan struktur pasar yang memastikan ia tidak pernah bisa naik kelas. Ketika hasil melaut berlimpah, harga ikan anjlok karena tidak ada fasilitas penyimpanan dingin di dermaganya. Ketika hasil melaut sedikit, ia terpaksa menjual ke tengkulak dengan harga yang ditentukan sepihak.</w:t>
      </w:r>
    </w:p>
    <w:p>
      <w:pPr>
        <w:spacing w:after="120" w:line="312"/>
        <w:ind w:firstLine="420"/>
        <w:jc w:val="both"/>
      </w:pPr>
      <w:r>
        <w:rPr>
          <w:rFonts w:ascii="Calibri" w:eastAsia="Microsoft YaHei"/>
          <w:color w:val="1A2E28"/>
          <w:sz w:val="24"/>
          <w:szCs w:val="24"/>
        </w:rPr>
        <w:t xml:space="preserve">Dalam setahun, rata-rata pendapatan Jusuf hanya sekitar Rp 1,5 juta per bulan, dengan pengeluaran bahan bakar dan perbaikan perahu yang mencapai hampir 40% dari pendapatan kotor. Ia tidak memiliki asuransi, tidak memiliki tabungan, dan tidak memiliki akses ke lembaga keuangan formal. Bank menolaknya karena tidak memiliki agunan. Koperasi unit desa di wilayahnya telah tidak aktif selama bertahun-tahun. Jusuf terjebak dalam apa yang ekonom Paul Collier sebut sebagai “perangkap kemiskinan” — kombinasi faktor struktural yang membuatnya nyaris mustahil keluar dari kemiskinan tanpa intervensi eksternal yang mendasar.</w:t>
      </w:r>
    </w:p>
    <w:p>
      <w:pPr>
        <w:pStyle w:val="Heading3"/>
        <w:spacing w:after="120" w:before="280" w:line="340"/>
      </w:pPr>
      <w:r>
        <w:rPr>
          <w:rFonts w:ascii="Calibri" w:eastAsia="SimHei"/>
          <w:b/>
          <w:bCs/>
          <w:color w:val="008F3D"/>
          <w:sz w:val="26"/>
          <w:szCs w:val="26"/>
        </w:rPr>
        <w:t xml:space="preserve">Kisah Bu Ratna — Wirausaha Kupang yang Dicekik Bunga Pinjaman</w:t>
      </w:r>
    </w:p>
    <w:p>
      <w:pPr>
        <w:spacing w:after="120" w:line="312"/>
        <w:ind w:firstLine="420"/>
        <w:jc w:val="both"/>
      </w:pPr>
      <w:r>
        <w:rPr>
          <w:rFonts w:ascii="Calibri" w:eastAsia="Microsoft YaHei"/>
          <w:color w:val="1A2E28"/>
          <w:sz w:val="24"/>
          <w:szCs w:val="24"/>
        </w:rPr>
        <w:t xml:space="preserve">Ratna, 38 tahun, adalah ibu tiga anak di Kupang, Nusa Tenggara Timur, yang berusaha membangun usaha kecil mengolah kemiri menjadi minyak kemiri murni. Produknya memiliki potensi pasar yang nyata — minyak kemiri adalah komoditas yang dicari untuk kebutuhan farmasi dan kosmetik. Namun untuk mengembangkan usahanya, Ratna membutuhkan modal yang tidak ia miliki. Pinjaman bank formal menuntut agunan yang tidak ia punya. Ia terpaksa meminjam dari lintah darat dengan bunga 20% per bulan. Dalam setahun, hutangnya berlipat ganda. Bukan kemakmuran yang ia dapatkan, melainkan jerat utang yang semakin membelit.</w:t>
      </w:r>
    </w:p>
    <w:p>
      <w:pPr>
        <w:spacing w:after="120" w:line="312"/>
        <w:ind w:firstLine="420"/>
        <w:jc w:val="both"/>
      </w:pPr>
      <w:r>
        <w:rPr>
          <w:rFonts w:ascii="Calibri" w:eastAsia="Microsoft YaHei"/>
          <w:color w:val="1A2E28"/>
          <w:sz w:val="24"/>
          <w:szCs w:val="24"/>
        </w:rPr>
        <w:t xml:space="preserve">Kisah Ratna menggambarkan paradoks yang menghantui jutaan pelaku UMKM di Indonesia: mereka yang paling membutuhkan akses pembiayaan justru yang paling sulit mendapatkannya dari sistem formal. Data OJK menunjukkan bahwa tingkat inklusi keuangan di perdesaan masih jauh di bawah wilayah perkotaan, dan ketika akses terbuka pun, suku bunga kredit untuk usaha mikro bisa mencapai 20-30% per tahun — angka yang mematikan bagi usaha bermodal kecil.</w:t>
      </w:r>
    </w:p>
    <w:p>
      <w:pPr>
        <w:pStyle w:val="Heading2"/>
        <w:spacing w:after="160" w:before="360" w:line="360"/>
      </w:pPr>
      <w:r>
        <w:rPr>
          <w:rFonts w:ascii="Calibri" w:eastAsia="SimHei"/>
          <w:b/>
          <w:bCs/>
          <w:color w:val="0C1F1A"/>
          <w:sz w:val="28"/>
          <w:szCs w:val="28"/>
        </w:rPr>
        <w:t xml:space="preserve">2.2 Akar Masalah: Sistem, Bukan Individu</w:t>
      </w:r>
    </w:p>
    <w:p>
      <w:pPr>
        <w:spacing w:after="120" w:line="312"/>
        <w:ind w:firstLine="420"/>
        <w:jc w:val="both"/>
      </w:pPr>
      <w:r>
        <w:rPr>
          <w:rFonts w:ascii="Calibri" w:eastAsia="Microsoft YaHei"/>
          <w:color w:val="1A2E28"/>
          <w:sz w:val="24"/>
          <w:szCs w:val="24"/>
        </w:rPr>
        <w:t xml:space="preserve">Ketiga kisah di atas bukan kebetulan. Mereka adalah manifestasi dari sistem ekonomi yang secara struktural menindas produsen kecil. Akar masalahnya bukan kemalasan individual, bukan kurangnya pendidikan, dan bukan ketidakmampuan — melainkan desain sistem yang secara sistematis memindahkan kekayaan dari produsen ke perantara, dari desa ke kota, dan dari rakyat ke elit. Ada enam rantai penindasan struktural yang harus diputus.</w:t>
      </w:r>
    </w:p>
    <w:p>
      <w:pPr>
        <w:spacing w:after="120" w:line="312"/>
        <w:ind w:firstLine="420"/>
        <w:jc w:val="both"/>
      </w:pPr>
      <w:r>
        <w:rPr>
          <w:rFonts w:ascii="Calibri" w:eastAsia="Microsoft YaHei"/>
          <w:color w:val="1A2E28"/>
          <w:sz w:val="24"/>
          <w:szCs w:val="24"/>
        </w:rPr>
        <w:t xml:space="preserve">Pertama, rantai pasok yang tidak adil, di mana tengkulak dan bandar menguasai distribusi dan menentukan harga sepihak, menghasilkan margin keuntungan yang tidak proporsional. Kedua, akses pasar yang terbatas, karena infrastruktur digital dan fisik di perdesaan tidak memadai untuk menghubungkan produsen langsung ke konsumen akhir. Ketiga, eksploitasi pembiayaan, di mana ketiadaan akses ke lembaga keuangan formal memaksa produsen kecil masuk ke dalam jerat rentenir dan pinjaman berbunga tinggi.</w:t>
      </w:r>
    </w:p>
    <w:p>
      <w:pPr>
        <w:spacing w:after="120" w:line="312"/>
        <w:ind w:firstLine="420"/>
        <w:jc w:val="both"/>
      </w:pPr>
      <w:r>
        <w:rPr>
          <w:rFonts w:ascii="Calibri" w:eastAsia="Microsoft YaHei"/>
          <w:color w:val="1A2E28"/>
          <w:sz w:val="24"/>
          <w:szCs w:val="24"/>
        </w:rPr>
        <w:t xml:space="preserve">Keempat, ketergantungan pada impor, di mana kebijakan pangan yang tidak berpihak membuat Indonesia yang merupakan negara agraris justru mengimpor bahan pangan yang seharusnya bisa diproduksi sendiri, menekan harga di tingkat petani lokal. Kelima, digital divide yang melebar, di mana transformasi digital yang seharusnya menjadi peluang justru menjadi momok baru yang semakin menjauhkan desa dari kota. Keenam, birokrasi yang menghambat, di mana regulasi yang rumit dan mahal membuat usaha kecil di desa tidak bisa tumbuh secara legal dan formal.</w:t>
      </w:r>
    </w:p>
    <w:p>
      <w:pPr>
        <w:pBdr>
          <w:left w:val="single" w:color="008F3D" w:sz="12" w:space="12"/>
        </w:pBdr>
        <w:spacing w:after="160" w:line="312"/>
        <w:ind w:left="600" w:right="600"/>
        <w:jc w:val="both"/>
      </w:pPr>
      <w:r>
        <w:rPr>
          <w:rFonts w:ascii="Calibri" w:eastAsia="Microsoft YaHei"/>
          <w:i/>
          <w:iCs/>
          <w:color w:val="5A7068"/>
          <w:sz w:val="24"/>
          <w:szCs w:val="24"/>
        </w:rPr>
        <w:t xml:space="preserve">“Ketika sistem dirancang untuk menguntungkan segelintir orang, maka kemiskinan bukanlah kegagalan individu — melainkan keberhasilan sistem itu sendiri.” — Refleksi Pendiri KNBMP</w:t>
      </w:r>
    </w:p>
    <w:p>
      <w:pPr>
        <w:pStyle w:val="Heading1"/>
        <w:spacing w:after="200" w:before="480" w:line="400"/>
      </w:pPr>
      <w:r>
        <w:rPr>
          <w:rFonts w:ascii="Calibri" w:eastAsia="SimHei"/>
          <w:b/>
          <w:bCs/>
          <w:color w:val="0C1F1A"/>
          <w:sz w:val="32"/>
          <w:szCs w:val="32"/>
        </w:rPr>
        <w:t xml:space="preserve">BAGIAN III: EVOLUSI PEMIKIRAN — Dari bisnisPPP ke KNBMP</w:t>
      </w:r>
    </w:p>
    <w:p>
      <w:pPr>
        <w:pStyle w:val="Heading2"/>
        <w:spacing w:after="160" w:before="360" w:line="360"/>
      </w:pPr>
      <w:r>
        <w:rPr>
          <w:rFonts w:ascii="Calibri" w:eastAsia="SimHei"/>
          <w:b/>
          <w:bCs/>
          <w:color w:val="0C1F1A"/>
          <w:sz w:val="28"/>
          <w:szCs w:val="28"/>
        </w:rPr>
        <w:t xml:space="preserve">3.1 Fase Benih: bisnisPPP (2016-2019)</w:t>
      </w:r>
    </w:p>
    <w:p>
      <w:pPr>
        <w:spacing w:after="120" w:line="312"/>
        <w:ind w:firstLine="420"/>
        <w:jc w:val="both"/>
      </w:pPr>
      <w:r>
        <w:rPr>
          <w:rFonts w:ascii="Calibri" w:eastAsia="Microsoft YaHei"/>
          <w:color w:val="1A2E28"/>
          <w:sz w:val="24"/>
          <w:szCs w:val="24"/>
        </w:rPr>
        <w:t xml:space="preserve">Benih pertama yang kelak menjadi KNBMP tertanam pada tahun 2016, ketika Gugun Gunara — yang kemudian menjadi Grand Architect KNBMP — mendirikan bisnisPPP, sebuah platform digital yang menghubungkan pelaku usaha kecil dan menengah dengan peluang kerjasama bisnis public-private partnership. Pada saat itu, bisnisPPP berfokus pada satu masalah spesifik: bagaimana membuat UMKM bisa mengakses proyek-proyek pemerintah dan korporasi yang selama ini hanya bisa dimainkan oleh perusahaan besar.</w:t>
      </w:r>
    </w:p>
    <w:p>
      <w:pPr>
        <w:spacing w:after="120" w:line="312"/>
        <w:ind w:firstLine="420"/>
        <w:jc w:val="both"/>
      </w:pPr>
      <w:r>
        <w:rPr>
          <w:rFonts w:ascii="Calibri" w:eastAsia="Microsoft YaHei"/>
          <w:color w:val="1A2E28"/>
          <w:sz w:val="24"/>
          <w:szCs w:val="24"/>
        </w:rPr>
        <w:t xml:space="preserve">Pengalaman bertahun-tahun di dunia bisnis dan konsultasi membuat Gugun menyadari bahwa masalah sesungguhnya bukan kurangnya program pemerintah untuk UMKM — program ada, dan anggarannya besar. Masalahnya adalah desain eksekusi yang tidak memihak. Dana desa yang dialokasikan melalui berbagai skema sering kali terserap oleh birokrasi dan perantara, bukan oleh rakyat yang seharusnya menjadi penerima manfaat. BisnisPPP mencoba menjadi jembatan, tetapi semakin lama semakin jelas bahwa pendekatan insidental — proyek demi proyek — tidak akan mengubah sistem secara mendasar.</w:t>
      </w:r>
    </w:p>
    <w:p>
      <w:pPr>
        <w:spacing w:after="120" w:line="312"/>
        <w:ind w:firstLine="420"/>
        <w:jc w:val="both"/>
      </w:pPr>
      <w:r>
        <w:rPr>
          <w:rFonts w:ascii="Calibri" w:eastAsia="Microsoft YaHei"/>
          <w:color w:val="1A2E28"/>
          <w:sz w:val="24"/>
          <w:szCs w:val="24"/>
        </w:rPr>
        <w:t xml:space="preserve">Tahun 2018 menjadi titik balik. Dalam perjalanan ke berbagai desa di Jawa Timur dan Nusa Tenggara Timur, Gugun melihat secara langsung bagaimana potensi ekonomi desa yang luar biasa — dari kopi specialty, rempah-rempah organik, hingga kerajinan tangan berkelas dunia — terkubur oleh ketiadaan akses, infrastruktur, dan organisasi. Ia menyadari bahwa bisnisPPP, sebaik apaun niatnya, hanya menggaruk permukaan. Diperlukan entitas yang jauh lebih ambisius, yang tidak hanya menghubungkan tetapi mengintegrasikan seluruh ekosistem ekonomi desa dari hulu ke hilir.</w:t>
      </w:r>
    </w:p>
    <w:p>
      <w:pPr>
        <w:pStyle w:val="Heading2"/>
        <w:spacing w:after="160" w:before="360" w:line="360"/>
      </w:pPr>
      <w:r>
        <w:rPr>
          <w:rFonts w:ascii="Calibri" w:eastAsia="SimHei"/>
          <w:b/>
          <w:bCs/>
          <w:color w:val="0C1F1A"/>
          <w:sz w:val="28"/>
          <w:szCs w:val="28"/>
        </w:rPr>
        <w:t xml:space="preserve">3.2 Fase Tunas: JP3 dan Respons Pandemi (2020-2025)</w:t>
      </w:r>
    </w:p>
    <w:p>
      <w:pPr>
        <w:spacing w:after="120" w:line="312"/>
        <w:ind w:firstLine="420"/>
        <w:jc w:val="both"/>
      </w:pPr>
      <w:r>
        <w:rPr>
          <w:rFonts w:ascii="Calibri" w:eastAsia="Microsoft YaHei"/>
          <w:color w:val="1A2E28"/>
          <w:sz w:val="24"/>
          <w:szCs w:val="24"/>
        </w:rPr>
        <w:t xml:space="preserve">Pandemi COVID-19 yang melanda pada awal 2020 menjadi katalisator yang mempercepat transformasi pemikiran ini. Ketika ekonomi global terhenti, desa-desa Indonesia — yang sudah rapuh secara struktural — mengalami pukulan yang menghancurkan. Rantai pasok terputus, pasar tradisional tutup, dan jutaan petani serta nelayan kehilangan penghasilan mereka dalam semalam. Di saat krisis itu, Gugun Gunara bersama Dr. H. Arif Rachman Hakim merintis JP3 — Jaringan Pengembangan Potensi Peradaban — sebagai respons darurat terhadap krisis ekonomi yang menghantam rakyat kecil.</w:t>
      </w:r>
    </w:p>
    <w:p>
      <w:pPr>
        <w:spacing w:after="120" w:line="312"/>
        <w:ind w:firstLine="420"/>
        <w:jc w:val="both"/>
      </w:pPr>
      <w:r>
        <w:rPr>
          <w:rFonts w:ascii="Calibri" w:eastAsia="Microsoft YaHei"/>
          <w:color w:val="1A2E28"/>
          <w:sz w:val="24"/>
          <w:szCs w:val="24"/>
        </w:rPr>
        <w:t xml:space="preserve">JP3 bukan sekadar program bantuan. Ia adalah prototipe dari ekosistem yang lebih besar. Melalui JP3, tim membangun jaringan logistik desa, mengembangkan platform digital untuk marketplace produk desa, dan merancang sistem pembiayaan mikro yang tidak membebankan bunga kepada peminjam. Pengalaman selama pandemi mengajarkan beberapa pelajaran krusial. Pertama, bahwa krisis justru membuka peluang untuk inovasi sistemik. Kedua, bahwa masyarakat desa memiliki resiliensi yang luar biasa jika diberi alat yang tepat. Ketiga, bahwa teknologi digital bisa menjadi pemerata kekuatan jika dirancang untuk inklusi, bukan eksklusi.</w:t>
      </w:r>
    </w:p>
    <w:p>
      <w:pPr>
        <w:spacing w:after="120" w:line="312"/>
        <w:ind w:firstLine="420"/>
        <w:jc w:val="both"/>
      </w:pPr>
      <w:r>
        <w:rPr>
          <w:rFonts w:ascii="Calibri" w:eastAsia="Microsoft YaHei"/>
          <w:color w:val="1A2E28"/>
          <w:sz w:val="24"/>
          <w:szCs w:val="24"/>
        </w:rPr>
        <w:t xml:space="preserve">Pada periode ini pula, Muhammad Lutfi Azmi bergabung membawa dimensi ruhani-ilmiah yang menjadi roh intelektual KNBMP. Kehadiran Lutfi menggeser perspektif tim dari sekadar membangun platform bisnis menuju merancang “arsitektur peradaban” — sebuah konsep yang jauh lebih dalam dan bermakna. Lutfi meyakini bahwa transformasi ekonomi tanpa transformasi nilai hanya akan melahirkan bentuk baru dari penindasan yang sama. Karena itu, setiap aspek desain KNBMP harus dilandasi oleh nilai-nilai keadilan, kemaslahatan, dan kedaulatan.</w:t>
      </w:r>
    </w:p>
    <w:p>
      <w:pPr>
        <w:pStyle w:val="Heading2"/>
        <w:spacing w:after="160" w:before="360" w:line="360"/>
      </w:pPr>
      <w:r>
        <w:rPr>
          <w:rFonts w:ascii="Calibri" w:eastAsia="SimHei"/>
          <w:b/>
          <w:bCs/>
          <w:color w:val="0C1F1A"/>
          <w:sz w:val="28"/>
          <w:szCs w:val="28"/>
        </w:rPr>
        <w:t xml:space="preserve">3.3 Fase Pohon: Kelahiran KNBMP (2026)</w:t>
      </w:r>
    </w:p>
    <w:p>
      <w:pPr>
        <w:spacing w:after="120" w:line="312"/>
        <w:ind w:firstLine="420"/>
        <w:jc w:val="both"/>
      </w:pPr>
      <w:r>
        <w:rPr>
          <w:rFonts w:ascii="Calibri" w:eastAsia="Microsoft YaHei"/>
          <w:color w:val="1A2E28"/>
          <w:sz w:val="24"/>
          <w:szCs w:val="24"/>
        </w:rPr>
        <w:t xml:space="preserve">Tanggal 21 Maret 2026 menjadi tonggak sejarah. Pada hari itu, di Jakarta, tujuh belas orang pendiri menandatangani Anggaran Dasar dan Anggaran Rumah Tangga Super Final Versi 7 dari Kopi Korporasi Multipihak Nusa Berdikari Merah Putih. Nama “KNBMP” sendiri mengandung makna yang mendalam. “Kopi” bukan merujuk pada komoditas kopi semata, melainkan merupakan akronim dari “Korporasi” — memasukkan semangat kerja keras dan ketekunan yang diasosiasikan dengan kopi. “Multipihak” menegaskan bahwa organisasi ini bukan milik satu kelompok, melainkan milik semua pihak yang terlibat dalam ekosistem ekonomi. “Nusa Berdikari Merah Putih” menyatakan visi kedaulatan ekonomi yang berakar pada identitas bangsa.</w:t>
      </w:r>
    </w:p>
    <w:p>
      <w:pPr>
        <w:spacing w:after="120" w:line="312"/>
        <w:ind w:firstLine="420"/>
        <w:jc w:val="both"/>
      </w:pPr>
      <w:r>
        <w:rPr>
          <w:rFonts w:ascii="Calibri" w:eastAsia="Microsoft YaHei"/>
          <w:color w:val="1A2E28"/>
          <w:sz w:val="24"/>
          <w:szCs w:val="24"/>
        </w:rPr>
        <w:t xml:space="preserve">Pendaftaran KNBMP sebagai Koperasi Serba Usaha (KSU) di Kementerian Koperasi dan UKM dengan nomor AHU-0001234.AH.01.01.Tahun 2026 bukanlah sekadar formalitas hukum. Ia adalah pernyataan bahwa KNBMP memilih jalur koperasi — bukan korporasi kapitalis, bukan pula NGO bergantung donasi — sebagai wadah perjuangannya. Jalur koperasi dipilih karena tiga alasan fundamental: pertama, prinsip koperasi yang menekankan keanggotaan terbuka dan sukarela sejalan dengan semangat inklusi KNBMP. Kedua, pengelolaan demokratis memastikan bahwa kekuasaan tidak terkonsentrasi pada segelintir orang. Ketiga, distribusi SHU berdasarkan kontribusi anggota menciptakan insentif yang adil bagi semua pihak.</w:t>
      </w:r>
    </w:p>
    <w:p>
      <w:pPr>
        <w:spacing w:after="120" w:line="312"/>
        <w:ind w:firstLine="420"/>
        <w:jc w:val="both"/>
      </w:pPr>
      <w:r>
        <w:rPr>
          <w:rFonts w:ascii="Calibri" w:eastAsia="Microsoft YaHei"/>
          <w:color w:val="1A2E28"/>
          <w:sz w:val="24"/>
          <w:szCs w:val="24"/>
        </w:rPr>
        <w:t xml:space="preserve">Yang membuat KNBMP benar-benar revolusioner adalah konsep Pentagon Kedaulatan — model tata kelola yang membagi kekuasaan voting secara seimbang kepada lima Kelompok Pihak Anggota (KPA), masing-masing 20%. Ini berarti produsen, konsumen, abdi negara, pelaku usaha, dan investor memiliki suara yang sama dalam pengambilan keputusan. Tidak ada satu pihak pun yang bisa mendominasi, termasuk investor. Doktrin Anti-Oligarki yang tertuang dalam ART Pasal 7 memastikan bahwa hak suara didasarkan pada jumlah entitas, bukan persentase modal. Ini adalah terobosan yang belum pernah dicoba oleh koperasi manapun di dunia dalam skala ini.</w:t>
      </w:r>
    </w:p>
    <w:p>
      <w:pPr>
        <w:pStyle w:val="Heading1"/>
        <w:spacing w:after="200" w:before="480" w:line="400"/>
      </w:pPr>
      <w:r>
        <w:rPr>
          <w:rFonts w:ascii="Calibri" w:eastAsia="SimHei"/>
          <w:b/>
          <w:bCs/>
          <w:color w:val="0C1F1A"/>
          <w:sz w:val="32"/>
          <w:szCs w:val="32"/>
        </w:rPr>
        <w:t xml:space="preserve">BAGIAN IV: EMPAT IDENTITAS PENDIRI — Empat Wajah, Satu Visi</w:t>
      </w:r>
    </w:p>
    <w:p>
      <w:pPr>
        <w:spacing w:after="120" w:line="312"/>
        <w:ind w:firstLine="420"/>
        <w:jc w:val="both"/>
      </w:pPr>
      <w:r>
        <w:rPr>
          <w:rFonts w:ascii="Calibri" w:eastAsia="Microsoft YaHei"/>
          <w:color w:val="1A2E28"/>
          <w:sz w:val="24"/>
          <w:szCs w:val="24"/>
        </w:rPr>
        <w:t xml:space="preserve">KNBMP bukanlah ciptaan satu orang. Ia adalah sinergi dari empat persona identitas yang masing-masing membawa dimensi esensial yang tanpanya KNBMP tidak akan menjadi apa adanya. Keempat persona ini tidak beroperasi secara terpisah; mereka saling melengkapi, saling mengoreksi, dan saling menguatkan dalam arsitektur yang dirancang untuk tahan terhadap ujian waktu.</w:t>
      </w:r>
    </w:p>
    <w:p>
      <w:pPr>
        <w:pStyle w:val="Heading2"/>
        <w:spacing w:after="160" w:before="360" w:line="360"/>
      </w:pPr>
      <w:r>
        <w:rPr>
          <w:rFonts w:ascii="Calibri" w:eastAsia="SimHei"/>
          <w:b/>
          <w:bCs/>
          <w:color w:val="0C1F1A"/>
          <w:sz w:val="28"/>
          <w:szCs w:val="28"/>
        </w:rPr>
        <w:t xml:space="preserve">4.1 Gugun Gunara — Arsitek Besar: Dimensi Bisnis-Negara (Dominan)</w:t>
      </w:r>
    </w:p>
    <w:p>
      <w:pPr>
        <w:spacing w:after="120" w:line="312"/>
        <w:ind w:firstLine="420"/>
        <w:jc w:val="both"/>
      </w:pPr>
      <w:r>
        <w:rPr>
          <w:rFonts w:ascii="Calibri" w:eastAsia="Microsoft YaHei"/>
          <w:color w:val="1A2E28"/>
          <w:sz w:val="24"/>
          <w:szCs w:val="24"/>
        </w:rPr>
        <w:t xml:space="preserve">Gugun Gunara adalah Grand Architect KNBMP — kekuatan pendorong yang mengubah visi menjadi arsitektur operasional. Latar belakangnya di bidang bisnis, konsultasi strategi, dan hubungan pemerintah memberinya pemahaman mendalam tentang cara kerja kekuasaan ekonomi di Indonesia. Ia tahu bagaimana sistem bekerja, dan lebih penting lagi, ia tahu bagaimana sistem bisa diubah dari dalam tanpa harus menghancurkannya.</w:t>
      </w:r>
    </w:p>
    <w:p>
      <w:pPr>
        <w:spacing w:after="120" w:line="312"/>
        <w:ind w:firstLine="420"/>
        <w:jc w:val="both"/>
      </w:pPr>
      <w:r>
        <w:rPr>
          <w:rFonts w:ascii="Calibri" w:eastAsia="Microsoft YaHei"/>
          <w:color w:val="1A2E28"/>
          <w:sz w:val="24"/>
          <w:szCs w:val="24"/>
        </w:rPr>
        <w:t xml:space="preserve">Peran Gugun dalam KNBMP bersifat dominan bukan karena ambisi personal, melainkan karena kebutuhan struktural. Pada fase awal pembangunan fondasi, diperlukan keputusan cepat, arah yang jelas, dan kemampuan untuk menavigasi lanskap regulasi dan politik yang kompleks. Gugun menyediakan ketiga-tiganya. Namun arsitektur KNBMP dirancang agar dominansi ini bersifat temporal — seiring dengan matangnya organisasi, kekuasaan terdesentralisasi melalui Pentagon Kedaulatan, dan peran Gugun bertransisi dari arsitek pembangun menjadi penjaga api yang memastikan nyala tetap menyala sesuai prinsip awal.</w:t>
      </w:r>
    </w:p>
    <w:p>
      <w:pPr>
        <w:pStyle w:val="Heading2"/>
        <w:spacing w:after="160" w:before="360" w:line="360"/>
      </w:pPr>
      <w:r>
        <w:rPr>
          <w:rFonts w:ascii="Calibri" w:eastAsia="SimHei"/>
          <w:b/>
          <w:bCs/>
          <w:color w:val="0C1F1A"/>
          <w:sz w:val="28"/>
          <w:szCs w:val="28"/>
        </w:rPr>
        <w:t xml:space="preserve">4.2 Muhammad Lutfi Azmi — Sang Ruhani-Ilmiah: Dimensi Spiritual-Intelektual (Sekunder)</w:t>
      </w:r>
    </w:p>
    <w:p>
      <w:pPr>
        <w:spacing w:after="120" w:line="312"/>
        <w:ind w:firstLine="420"/>
        <w:jc w:val="both"/>
      </w:pPr>
      <w:r>
        <w:rPr>
          <w:rFonts w:ascii="Calibri" w:eastAsia="Microsoft YaHei"/>
          <w:color w:val="1A2E28"/>
          <w:sz w:val="24"/>
          <w:szCs w:val="24"/>
        </w:rPr>
        <w:t xml:space="preserve">Jika Gugun adalah otak strategis KNBMP, maka Muhammad Lutfi Azmi adalah jiwanya. Lutfi membawa dimensi yang sering kali diabaikan dalam diskursus ekonomi modern: dimensi ruhaniah dan keilmuan. Ia meyakini bahwa transformasi ekonomi tanpa transformasi kesadaran hanya akan mengganti satu bentuk penindasan dengan bentuk lain. Karena itu, setiap rancangan teknis KNBMP harus melewati saringan nilai: apakah ini adil? Apakah ini bermanfaat bagi yang lemah? Apakah ini sesuai dengan prinsip kemaslahatan?</w:t>
      </w:r>
    </w:p>
    <w:p>
      <w:pPr>
        <w:spacing w:after="120" w:line="312"/>
        <w:ind w:firstLine="420"/>
        <w:jc w:val="both"/>
      </w:pPr>
      <w:r>
        <w:rPr>
          <w:rFonts w:ascii="Calibri" w:eastAsia="Microsoft YaHei"/>
          <w:color w:val="1A2E28"/>
          <w:sz w:val="24"/>
          <w:szCs w:val="24"/>
        </w:rPr>
        <w:t xml:space="preserve">Konsep Invisible Dues — sistem iuran tanpa penagihan manual yang kini menjadi ciri khas KNBMP — adalah perwujudan nyata dari pemikiran Lutfi. Ia menolak keras praktik penagihan door-to-door, telepon intimidasi, dan debt-collector yang memalukan anggota koperasi. Bagi Lutfi, iuran koperasi harus dieksekusi dengan cara yang menjaga martabat anggotanya. Karena itu ia merancang mekanisme auto-deduct yang disesuaikan dengan karakteristik masing-masing KPA: dari potongan penjualan panen untuk produsen, hingga dividen deduction untuk investor. Semua berjalan otomatis, transparan, dan tanpa mempermalukan siapapun.</w:t>
      </w:r>
    </w:p>
    <w:p>
      <w:pPr>
        <w:pStyle w:val="Heading2"/>
        <w:spacing w:after="160" w:before="360" w:line="360"/>
      </w:pPr>
      <w:r>
        <w:rPr>
          <w:rFonts w:ascii="Calibri" w:eastAsia="SimHei"/>
          <w:b/>
          <w:bCs/>
          <w:color w:val="0C1F1A"/>
          <w:sz w:val="28"/>
          <w:szCs w:val="28"/>
        </w:rPr>
        <w:t xml:space="preserve">4.3 Prabu Danling — Sang Visi Peradaban: Dimensi Peradaban (Tersembunyi)</w:t>
      </w:r>
    </w:p>
    <w:p>
      <w:pPr>
        <w:spacing w:after="120" w:line="312"/>
        <w:ind w:firstLine="420"/>
        <w:jc w:val="both"/>
      </w:pPr>
      <w:r>
        <w:rPr>
          <w:rFonts w:ascii="Calibri" w:eastAsia="Microsoft YaHei"/>
          <w:color w:val="1A2E28"/>
          <w:sz w:val="24"/>
          <w:szCs w:val="24"/>
        </w:rPr>
        <w:t xml:space="preserve">Prabu Danling adalah persona yang paling tersembunyi namun mungkin yang paling penting dalam jangka panjang. Perannya bukan dalam operasional harian, melainkan dalam menanamkan visi jangka panjang yang melampaui siklus bisnis biasa. Prabu melihat KNBMP bukan sebagai perusahaan atau bahkan koperasi — ia melihatnya sebagai benih peradaban baru, sebuah eksperimen sosial-ekonomi yang jika berhasil bisa menjadi model bagi negara-negara berkembang di seluruh dunia.</w:t>
      </w:r>
    </w:p>
    <w:p>
      <w:pPr>
        <w:spacing w:after="120" w:line="312"/>
        <w:ind w:firstLine="420"/>
        <w:jc w:val="both"/>
      </w:pPr>
      <w:r>
        <w:rPr>
          <w:rFonts w:ascii="Calibri" w:eastAsia="Microsoft YaHei"/>
          <w:color w:val="1A2E28"/>
          <w:sz w:val="24"/>
          <w:szCs w:val="24"/>
        </w:rPr>
        <w:t xml:space="preserve">Visi peradaban Prabu tercermin dalam tiga horizon waktu yang ia tanamkan ke dalam roadmap KNBMP: Fase Fondasi (2026-2030) untuk membangun infrastruktur dasar dan membuktikan model, Fase Skala (2030-2035) untuk ekspansi ke seluruh Nusantara dan ASEAN, dan Fase Maturasi (2035-2050) untuk mencapai visi 10 juta anggota dan transaksi Rp 2.000 triliun. Setiap fase bukan hanya soal angka — ia melibatkan transformasi kesadaran, budaya, dan identitas. Prabu memastikan bahwa pertumbuhan kuantitatif selalu diiringi pendalaman kualitatif, agar KNBMP tidak menjadi raksasa yang kosong.</w:t>
      </w:r>
    </w:p>
    <w:p>
      <w:pPr>
        <w:pStyle w:val="Heading2"/>
        <w:spacing w:after="160" w:before="360" w:line="360"/>
      </w:pPr>
      <w:r>
        <w:rPr>
          <w:rFonts w:ascii="Calibri" w:eastAsia="SimHei"/>
          <w:b/>
          <w:bCs/>
          <w:color w:val="0C1F1A"/>
          <w:sz w:val="28"/>
          <w:szCs w:val="28"/>
        </w:rPr>
        <w:t xml:space="preserve">4.4 Santri Angon — Sang Kemanusiaan: Dimensi Humanistik (Tersembunyi)</w:t>
      </w:r>
    </w:p>
    <w:p>
      <w:pPr>
        <w:spacing w:after="120" w:line="312"/>
        <w:ind w:firstLine="420"/>
        <w:jc w:val="both"/>
      </w:pPr>
      <w:r>
        <w:rPr>
          <w:rFonts w:ascii="Calibri" w:eastAsia="Microsoft YaHei"/>
          <w:color w:val="1A2E28"/>
          <w:sz w:val="24"/>
          <w:szCs w:val="24"/>
        </w:rPr>
        <w:t xml:space="preserve">Santri Angon mewakili dimensi kemanusiaan yang menjadi alasan keberadaan KNBMP itu sendiri. Nama “Santri Angon” — yang berarti santri penggembala — mengandung makna mendalam: seseorang yang menggembalakan dengan penuh kasih sayang, yang melindungi yang lemah, dan yang selalu mengingat bahwa tujuan akhir dari semua usaha adalah kemaslahatan manusia, bukan akumulasi kekayaan.</w:t>
      </w:r>
    </w:p>
    <w:p>
      <w:pPr>
        <w:spacing w:after="120" w:line="312"/>
        <w:ind w:firstLine="420"/>
        <w:jc w:val="both"/>
      </w:pPr>
      <w:r>
        <w:rPr>
          <w:rFonts w:ascii="Calibri" w:eastAsia="Microsoft YaHei"/>
          <w:color w:val="1A2E28"/>
          <w:sz w:val="24"/>
          <w:szCs w:val="24"/>
        </w:rPr>
        <w:t xml:space="preserve">Peran Santri Angon paling terasa dalam desain Tier Petani GRATIS — keputusan revolusioner bahwa petani murni, nelayan, dan pekerja produksi bisa bergabung dengan KNBMP tanpa biaya pendaftaran. Dalam dunia koperasi konvensional, simpanan pokok adalah syarat mutlak keanggotaan. Namun Santri Angon berargumen bahwa meminta petani miskin membayar untuk bergabung dengan organisasi yang konon memperjuangkan mereka adalah kontradiksi yang tidak bisa diterima. Karena itu, untuk KPA-1 Produsen dan Pekerja, simpanan pokok Rp 100.000 dikonversi menjadi saldo awal dompet digital JP3 Pay dan biaya verifikasi — artinya, uang tersebut kembali kepada anggota dalam bentuk manfaat langsung, bukan “iuran” yang menghilang.</w:t>
      </w:r>
    </w:p>
    <w:p>
      <w:pPr>
        <w:spacing w:after="120" w:line="312"/>
        <w:ind w:firstLine="420"/>
        <w:jc w:val="both"/>
      </w:pPr>
      <w:r>
        <w:rPr>
          <w:rFonts w:ascii="Calibri" w:eastAsia="Microsoft YaHei"/>
          <w:color w:val="1A2E28"/>
          <w:sz w:val="24"/>
          <w:szCs w:val="24"/>
        </w:rPr>
        <w:t xml:space="preserve">Dimensi kemanusiaan ini juga terlihat dalam kebijakan bahwa simpanan wajib yang tidak terbayar diakumulasikan sebagai piutang internal tanpa denda, tanpa bunga, dan tanpa penagihan. KNBMP mempercayai anggotanya; ia tidak mempermalukan mereka ketika sedang kesulitan. Ini adalah manifestasi nyata dari prinsip bahwa organisasi ekonomi harus melayani manusia, bukan sebaliknya.</w:t>
      </w:r>
    </w:p>
    <w:p>
      <w:pPr>
        <w:pStyle w:val="Heading1"/>
        <w:spacing w:after="200" w:before="480" w:line="400"/>
      </w:pPr>
      <w:r>
        <w:rPr>
          <w:rFonts w:ascii="Calibri" w:eastAsia="SimHei"/>
          <w:b/>
          <w:bCs/>
          <w:color w:val="0C1F1A"/>
          <w:sz w:val="32"/>
          <w:szCs w:val="32"/>
        </w:rPr>
        <w:t xml:space="preserve">BAGIAN V: FILOSOFI YANG MENGGERAKKAN — Tujuh Nilai, Satu Komitmen</w:t>
      </w:r>
    </w:p>
    <w:p>
      <w:pPr>
        <w:spacing w:after="120" w:line="312"/>
        <w:ind w:firstLine="420"/>
        <w:jc w:val="both"/>
      </w:pPr>
      <w:r>
        <w:rPr>
          <w:rFonts w:ascii="Calibri" w:eastAsia="Microsoft YaHei"/>
          <w:color w:val="1A2E28"/>
          <w:sz w:val="24"/>
          <w:szCs w:val="24"/>
        </w:rPr>
        <w:t xml:space="preserve">KNBMP tidak berdiri di atas kehampaan filosofis. Ia berdiri di atas tujuh nilai inti yang saling terkait dan tak terpisahkan, yang setiap keputusan strategis dan operasional harus melewatinya sebagai filter. Ketujuh nilai ini — Amanah, Keadilan, Transparansi, Kemaslahatan, Kesederhanaan, Kebersamaan, dan Kelestarian — bukan sekadar kata-kata indah di dinding kantor. Mereka adalah DNA organisasi, dan penyimpangan dari nilai-nilai ini adalah ancaman eksistensial yang harus diperangi.</w:t>
      </w:r>
    </w:p>
    <w:p>
      <w:pPr>
        <w:pStyle w:val="Heading2"/>
        <w:spacing w:after="160" w:before="360" w:line="360"/>
      </w:pPr>
      <w:r>
        <w:rPr>
          <w:rFonts w:ascii="Calibri" w:eastAsia="SimHei"/>
          <w:b/>
          <w:bCs/>
          <w:color w:val="0C1F1A"/>
          <w:sz w:val="28"/>
          <w:szCs w:val="28"/>
        </w:rPr>
        <w:t xml:space="preserve">5.1 Amanah — Kepercayaan yang Dipertaruhkan</w:t>
      </w:r>
    </w:p>
    <w:p>
      <w:pPr>
        <w:spacing w:after="120" w:line="312"/>
        <w:ind w:firstLine="420"/>
        <w:jc w:val="both"/>
      </w:pPr>
      <w:r>
        <w:rPr>
          <w:rFonts w:ascii="Calibri" w:eastAsia="Microsoft YaHei"/>
          <w:color w:val="1A2E28"/>
          <w:sz w:val="24"/>
          <w:szCs w:val="24"/>
        </w:rPr>
        <w:t xml:space="preserve">Amanah adalah nilai pertama dan paling fundamental. Dalam konteks KNBMP, amanah berarti bahwa setiap rupiah yang dipercayakan oleh anggota — baik melalui simpanan pokok, simpanan wajib, maupun investasi — harus dikelola dengan penuh tanggung jawab dan dapat dipertanggungjawabkan. Escrow Mutlak yang ditetapkan dalam ART Pasal 10, di mana dana investasi KPA-5 wajib masuk ke rekening terpisah dari kas operasional, adalah perwujudan nyata dari amanah. KNBMP memilih jalan yang lebih sulit — transparansi penuh — karena amanah tidak bisa ditawar.</w:t>
      </w:r>
    </w:p>
    <w:p>
      <w:pPr>
        <w:pStyle w:val="Heading2"/>
        <w:spacing w:after="160" w:before="360" w:line="360"/>
      </w:pPr>
      <w:r>
        <w:rPr>
          <w:rFonts w:ascii="Calibri" w:eastAsia="SimHei"/>
          <w:b/>
          <w:bCs/>
          <w:color w:val="0C1F1A"/>
          <w:sz w:val="28"/>
          <w:szCs w:val="28"/>
        </w:rPr>
        <w:t xml:space="preserve">5.2 Keadilan — Banyak Sekali, Bukan Sama Rata</w:t>
      </w:r>
    </w:p>
    <w:p>
      <w:pPr>
        <w:spacing w:after="120" w:line="312"/>
        <w:ind w:firstLine="420"/>
        <w:jc w:val="both"/>
      </w:pPr>
      <w:r>
        <w:rPr>
          <w:rFonts w:ascii="Calibri" w:eastAsia="Microsoft YaHei"/>
          <w:color w:val="1A2E28"/>
          <w:sz w:val="24"/>
          <w:szCs w:val="24"/>
        </w:rPr>
        <w:t xml:space="preserve">Keadilan dalam KNBMP bukan berarti kesetaraan yang kaku di mana semua orang mendapat bagian yang sama terlepas dari kontribusinya. Keadilan berarti setiap pihak mendapat manfaat yang proporsional sesuai kontribusi dan kebutuhannya. Pentagon Kedaulatan adalah manifestasi keadilan ini: setiap KPA memiliki 20% suara, bukan karena mereka “sama” dalam ukuran modal, melainkan karena mereka sama-sama esensial bagi ekosistem. Produsen tanpa konsumen tidak ada artinya. Investor tanpa produsen tidak ada yang dibiayai. Keadilan KNBMP adalah keadilan ekosistemis, bukan keadilan matematis.</w:t>
      </w:r>
    </w:p>
    <w:p>
      <w:pPr>
        <w:pStyle w:val="Heading2"/>
        <w:spacing w:after="160" w:before="360" w:line="360"/>
      </w:pPr>
      <w:r>
        <w:rPr>
          <w:rFonts w:ascii="Calibri" w:eastAsia="SimHei"/>
          <w:b/>
          <w:bCs/>
          <w:color w:val="0C1F1A"/>
          <w:sz w:val="28"/>
          <w:szCs w:val="28"/>
        </w:rPr>
        <w:t xml:space="preserve">5.3 Transparansi — Segala Sesuatu Terbuka</w:t>
      </w:r>
    </w:p>
    <w:p>
      <w:pPr>
        <w:spacing w:after="120" w:line="312"/>
        <w:ind w:firstLine="420"/>
        <w:jc w:val="both"/>
      </w:pPr>
      <w:r>
        <w:rPr>
          <w:rFonts w:ascii="Calibri" w:eastAsia="Microsoft YaHei"/>
          <w:color w:val="1A2E28"/>
          <w:sz w:val="24"/>
          <w:szCs w:val="24"/>
        </w:rPr>
        <w:t xml:space="preserve">Transparansi adalah imunitas terhadap korupsi. KNBMP berkomitmen bahwa setiap transaksi, setiap keputusan, dan setiap distribusi SHU dapat diakses oleh setiap anggota melalui Smart Village Dashboard yang beroperasi real-time. Teknologi blockchain yang diintegrasikan ke dalam platform memastikan bahwa catatan tidak bisa dimanipulasi. Transparansi bukan kemurahan hati; ia adalah mekanisme pertahanan yang memastikan bahwa KNBMP tidak terjerumus ke dalam penyakit yang sama dengan organisasi-organisasi sebelumnya.</w:t>
      </w:r>
    </w:p>
    <w:p>
      <w:pPr>
        <w:pStyle w:val="Heading2"/>
        <w:spacing w:after="160" w:before="360" w:line="360"/>
      </w:pPr>
      <w:r>
        <w:rPr>
          <w:rFonts w:ascii="Calibri" w:eastAsia="SimHei"/>
          <w:b/>
          <w:bCs/>
          <w:color w:val="0C1F1A"/>
          <w:sz w:val="28"/>
          <w:szCs w:val="28"/>
        </w:rPr>
        <w:t xml:space="preserve">5.4 Kemaslahatan — Kebaikan untuk Semua</w:t>
      </w:r>
    </w:p>
    <w:p>
      <w:pPr>
        <w:spacing w:after="120" w:line="312"/>
        <w:ind w:firstLine="420"/>
        <w:jc w:val="both"/>
      </w:pPr>
      <w:r>
        <w:rPr>
          <w:rFonts w:ascii="Calibri" w:eastAsia="Microsoft YaHei"/>
          <w:color w:val="1A2E28"/>
          <w:sz w:val="24"/>
          <w:szCs w:val="24"/>
        </w:rPr>
        <w:t xml:space="preserve">Kemaslahatan adalah filter tertinggi. Setiap kebijakan, produk, dan layanan KNBMP harus melewati pertanyaan: apakah ini membawa kebaikan bagi sebagian besar anggota? Jika sebuah keputusan menguntungkan satu pihak tetapi merugikan pihak lain yang lebih banyak dan lebih lemah, maka keputusan itu tidak memenuhi standar kemaslahatan. Nilai ini menjadi penyeimbang terhadap logika murni profitabilitas yang sering kali mengabaikan dampak sosial.</w:t>
      </w:r>
    </w:p>
    <w:p>
      <w:pPr>
        <w:pStyle w:val="Heading2"/>
        <w:spacing w:after="160" w:before="360" w:line="360"/>
      </w:pPr>
      <w:r>
        <w:rPr>
          <w:rFonts w:ascii="Calibri" w:eastAsia="SimHei"/>
          <w:b/>
          <w:bCs/>
          <w:color w:val="0C1F1A"/>
          <w:sz w:val="28"/>
          <w:szCs w:val="28"/>
        </w:rPr>
        <w:t xml:space="preserve">5.5 Kesederhanaan — Besar Tanpa Berlebihan</w:t>
      </w:r>
    </w:p>
    <w:p>
      <w:pPr>
        <w:spacing w:after="120" w:line="312"/>
        <w:ind w:firstLine="420"/>
        <w:jc w:val="both"/>
      </w:pPr>
      <w:r>
        <w:rPr>
          <w:rFonts w:ascii="Calibri" w:eastAsia="Microsoft YaHei"/>
          <w:color w:val="1A2E28"/>
          <w:sz w:val="24"/>
          <w:szCs w:val="24"/>
        </w:rPr>
        <w:t xml:space="preserve">Kesederhanaan bukan berarti kemiskinan. Ia berarti bahwa pertumbuhan dan kemakmuran KNBMP harus dicapai tanpa pemborosan, tanpa kemewahan yang tidak perlu, dan tanpa mengorbankan martabat siapapun. KNBMP menargetkan volume transaksi Rp 1.000 triliun pada 2028 — angka yang sangat besar — tetapi kebesaran ini harus dicapai dengan kesederhanaan operasional yang memastikan bahwa setiap rupiah digunakan untuk kemaslahatan, bukan untuk kemewahan elit.</w:t>
      </w:r>
    </w:p>
    <w:p>
      <w:pPr>
        <w:pStyle w:val="Heading2"/>
        <w:spacing w:after="160" w:before="360" w:line="360"/>
      </w:pPr>
      <w:r>
        <w:rPr>
          <w:rFonts w:ascii="Calibri" w:eastAsia="SimHei"/>
          <w:b/>
          <w:bCs/>
          <w:color w:val="0C1F1A"/>
          <w:sz w:val="28"/>
          <w:szCs w:val="28"/>
        </w:rPr>
        <w:t xml:space="preserve">5.6 Kebersamaan — Bersama Kita Berdaulat</w:t>
      </w:r>
    </w:p>
    <w:p>
      <w:pPr>
        <w:spacing w:after="120" w:line="312"/>
        <w:ind w:firstLine="420"/>
        <w:jc w:val="both"/>
      </w:pPr>
      <w:r>
        <w:rPr>
          <w:rFonts w:ascii="Calibri" w:eastAsia="Microsoft YaHei"/>
          <w:color w:val="1A2E28"/>
          <w:sz w:val="24"/>
          <w:szCs w:val="24"/>
        </w:rPr>
        <w:t xml:space="preserve">Kebersamaan adalah esensi koperasi itu sendiri. KNBMP memilih bentuk koperasi bukan korporasi karena kebersamaan menghasilkan kedaulatan. Ketika 10 juta anggota bersatu dalam satu ekosistem, kekuatan tawar mereka melampaui korporasi multinasional manapun. Kebersamaan bukan sentimentalitas; ia adalah strategi ekonomi yang paling efektif untuk melawan monopoli dan oligarki.</w:t>
      </w:r>
    </w:p>
    <w:p>
      <w:pPr>
        <w:pStyle w:val="Heading2"/>
        <w:spacing w:after="160" w:before="360" w:line="360"/>
      </w:pPr>
      <w:r>
        <w:rPr>
          <w:rFonts w:ascii="Calibri" w:eastAsia="SimHei"/>
          <w:b/>
          <w:bCs/>
          <w:color w:val="0C1F1A"/>
          <w:sz w:val="28"/>
          <w:szCs w:val="28"/>
        </w:rPr>
        <w:t xml:space="preserve">5.7 Kelestarian — Untuk Anak Cucu Kita</w:t>
      </w:r>
    </w:p>
    <w:p>
      <w:pPr>
        <w:spacing w:after="120" w:line="312"/>
        <w:ind w:firstLine="420"/>
        <w:jc w:val="both"/>
      </w:pPr>
      <w:r>
        <w:rPr>
          <w:rFonts w:ascii="Calibri" w:eastAsia="Microsoft YaHei"/>
          <w:color w:val="1A2E28"/>
          <w:sz w:val="24"/>
          <w:szCs w:val="24"/>
        </w:rPr>
        <w:t xml:space="preserve">Kelestarian mengingatkan bahwa setiap keputusan hari ini memiliki dampak pada generasi mendatang. KNBMP tidak hanya berorientasi pada kuartal atau tahun buku; ia berorientasi pada dekade dan abad. Fase Maturasi (2035-2050) dalam roadmap strategis menunjukkan bahwa KNBMP berpikir dalam horizon yang melampaui siklus bisnis biasa. Kelestarian juga tercermin dalam unit usaha Carbon Credits yang secara eksplisit menghubungkan aktivitas ekonomi dengan pelestarian lingkungan.</w:t>
      </w:r>
    </w:p>
    <w:p>
      <w:pPr>
        <w:pStyle w:val="Heading1"/>
        <w:spacing w:after="200" w:before="480" w:line="400"/>
      </w:pPr>
      <w:r>
        <w:rPr>
          <w:rFonts w:ascii="Calibri" w:eastAsia="SimHei"/>
          <w:b/>
          <w:bCs/>
          <w:color w:val="0C1F1A"/>
          <w:sz w:val="32"/>
          <w:szCs w:val="32"/>
        </w:rPr>
        <w:t xml:space="preserve">BAGIAN VI: NARASI INSPIRATIF — Dari Mimpi Menjadi Kenyataan</w:t>
      </w:r>
    </w:p>
    <w:p>
      <w:pPr>
        <w:pStyle w:val="Heading2"/>
        <w:spacing w:after="160" w:before="360" w:line="360"/>
      </w:pPr>
      <w:r>
        <w:rPr>
          <w:rFonts w:ascii="Calibri" w:eastAsia="SimHei"/>
          <w:b/>
          <w:bCs/>
          <w:color w:val="0C1F1A"/>
          <w:sz w:val="28"/>
          <w:szCs w:val="28"/>
        </w:rPr>
        <w:t xml:space="preserve">6.1 Mondragon: Bukti bahwa Koperasi Bisa Menjadi Raksasa</w:t>
      </w:r>
    </w:p>
    <w:p>
      <w:pPr>
        <w:spacing w:after="120" w:line="312"/>
        <w:ind w:firstLine="420"/>
        <w:jc w:val="both"/>
      </w:pPr>
      <w:r>
        <w:rPr>
          <w:rFonts w:ascii="Calibri" w:eastAsia="Microsoft YaHei"/>
          <w:color w:val="1A2E28"/>
          <w:sz w:val="24"/>
          <w:szCs w:val="24"/>
        </w:rPr>
        <w:t xml:space="preserve">Untuk memahami potensi KNBMP, kita harus melihat Mondragon Corporation — koperasi terbesar di dunia yang bermarkas di Basque Country, Spanyol. Didirikan pada tahun 1956 oleh lima orang lulusan sekolah teknis yang terinspirasi oleh ajaran sosial Katolik, Mondragon tumbuh dari sebuah pabrik kecil pembuat kompor minyak menjadi konglomerasi dengan omzet lebih dari 11 miliar euro, mempekerjakan lebih dari 80.000 pekerja, dan beroperasi di lebih dari 40 negara. Mondragon membuktikan bahwa koperasi bisa bersaing dengan korporasi kapitalis dalam skala global, tanpa mengorbankan prinsip demokrasi ekonomi.</w:t>
      </w:r>
    </w:p>
    <w:p>
      <w:pPr>
        <w:spacing w:after="120" w:line="312"/>
        <w:ind w:firstLine="420"/>
        <w:jc w:val="both"/>
      </w:pPr>
      <w:r>
        <w:rPr>
          <w:rFonts w:ascii="Calibri" w:eastAsia="Microsoft YaHei"/>
          <w:color w:val="1A2E28"/>
          <w:sz w:val="24"/>
          <w:szCs w:val="24"/>
        </w:rPr>
        <w:t xml:space="preserve">Namun KNBMP memiliki ambisi yang melampaui Mondragon. Jika Mondragon mengintegrasikan sektor industri dan keuangan, KNBMP mengintegrasikan seluruh ekosistem ekonomi desa — dari produksi hingga konsumsi, dari logistik hingga pembiayaan, dari pendidikan hingga energi. Target 83.763 desa terintegrasi menjadikan KNBMP sebagai eksperimen koperasi terbesar dalam sejarah umat manusia, bukan hanya dari segi angka, tetapi dari segi kompleksitas dan dampak sosial yang dirancang untuk dihasilkan.</w:t>
      </w:r>
    </w:p>
    <w:p>
      <w:pPr>
        <w:pStyle w:val="Heading2"/>
        <w:spacing w:after="160" w:before="360" w:line="360"/>
      </w:pPr>
      <w:r>
        <w:rPr>
          <w:rFonts w:ascii="Calibri" w:eastAsia="SimHei"/>
          <w:b/>
          <w:bCs/>
          <w:color w:val="0C1F1A"/>
          <w:sz w:val="28"/>
          <w:szCs w:val="28"/>
        </w:rPr>
        <w:t xml:space="preserve">6.2 Visi 2045: Indonesia Emas dan Peran KNBMP</w:t>
      </w:r>
    </w:p>
    <w:p>
      <w:pPr>
        <w:spacing w:after="120" w:line="312"/>
        <w:ind w:firstLine="420"/>
        <w:jc w:val="both"/>
      </w:pPr>
      <w:r>
        <w:rPr>
          <w:rFonts w:ascii="Calibri" w:eastAsia="Microsoft YaHei"/>
          <w:color w:val="1A2E28"/>
          <w:sz w:val="24"/>
          <w:szCs w:val="24"/>
        </w:rPr>
        <w:t xml:space="preserve">Visi Indonesia Emas 2045 — ketika Indonesia berusia 100 tahun dan menargetkan menjadi negara maju — tidak akan tercapai tanpa transformasi mendasar di perdesaan. Data menunjukkan bahwa sekitar 43% penduduk Indonesia tinggal di perdesaan, dan mereka adalah tulang punggung sektor pangan, energi terbarukan, dan sumber daya alam. Namun kontribusi mereka terhadap PDB tidak sebanding dengan jumlah dan potensi mereka. KNBMP dirancang untuk menutup kesenjangan ini.</w:t>
      </w:r>
    </w:p>
    <w:p>
      <w:pPr>
        <w:spacing w:after="120" w:line="312"/>
        <w:ind w:firstLine="420"/>
        <w:jc w:val="both"/>
      </w:pPr>
      <w:r>
        <w:rPr>
          <w:rFonts w:ascii="Calibri" w:eastAsia="Microsoft YaHei"/>
          <w:color w:val="1A2E28"/>
          <w:sz w:val="24"/>
          <w:szCs w:val="24"/>
        </w:rPr>
        <w:t xml:space="preserve">Dengan target 10 juta anggota pada 2045, transaksi Rp 2.000 triliun per tahun, dan integrasi penuh seluruh 83.763 desa, KNBMP bertujuan menjadi Digital Operating System Desa Indonesia — platform yang menjalankan seluruh fungsi ekonomi desa secara terintegrasi, transparan, dan berdaulat. Ini bukan mimpi kosong; ini adalah roadmap yang telah disusun dengan tiga fase implementasi yang jelas, metrik keberhasilan yang terukur, dan mekanisme mitigasi risiko yang komprehensif.</w:t>
      </w:r>
    </w:p>
    <w:p>
      <w:pPr>
        <w:pStyle w:val="Heading2"/>
        <w:spacing w:after="160" w:before="360" w:line="360"/>
      </w:pPr>
      <w:r>
        <w:rPr>
          <w:rFonts w:ascii="Calibri" w:eastAsia="SimHei"/>
          <w:b/>
          <w:bCs/>
          <w:color w:val="0C1F1A"/>
          <w:sz w:val="28"/>
          <w:szCs w:val="28"/>
        </w:rPr>
        <w:t xml:space="preserve">6.3 Ketika Pak Hasan, Pak Jusuf, dan Bu Ratna Menemukan KNBMP</w:t>
      </w:r>
    </w:p>
    <w:p>
      <w:pPr>
        <w:spacing w:after="120" w:line="312"/>
        <w:ind w:firstLine="420"/>
        <w:jc w:val="both"/>
      </w:pPr>
      <w:r>
        <w:rPr>
          <w:rFonts w:ascii="Calibri" w:eastAsia="Microsoft YaHei"/>
          <w:color w:val="1A2E28"/>
          <w:sz w:val="24"/>
          <w:szCs w:val="24"/>
        </w:rPr>
        <w:t xml:space="preserve">Bayangkan skenario ini: Pak Hasan di Bromo kini menjual kopi arabikanya langsung melalui Marketplace Zonasi KNBMP, menjangkau pembeli specialty coffee di 38 provinsi dan pasar ekspor di 195 negara, tanpa perantara yang memotong keuntungan secara tidak adil. Pendapatannya naik tiga kali lipat dalam setahun pertama. Ia menggunakan JP3 Pay untuk menerima pembayaran secara real-time, mengakses pembiayaan melalui Kampung Modal dengan suku bunga yang terjangkau, dan mengikuti pelatihan gratis di JE-P3 Academy untuk meningkatkan kualitas kopinya.</w:t>
      </w:r>
    </w:p>
    <w:p>
      <w:pPr>
        <w:spacing w:after="120" w:line="312"/>
        <w:ind w:firstLine="420"/>
        <w:jc w:val="both"/>
      </w:pPr>
      <w:r>
        <w:rPr>
          <w:rFonts w:ascii="Calibri" w:eastAsia="Microsoft YaHei"/>
          <w:color w:val="1A2E28"/>
          <w:sz w:val="24"/>
          <w:szCs w:val="24"/>
        </w:rPr>
        <w:t xml:space="preserve">Pak Jusuf di Takalar kini menjadi agen logistik KNBMP, menerima komisi dari setiap paket yang diproses melalui agen logistik multi-ekspedisi di desanya. Ia juga menjual hasil lautnya langsung melalui Marketplace, mendapatkan harga yang adil karena pembeli bisa memesan ikan segar langsung dari nelayan. Jusuf mengikuti pelatihan 10 jam dengan sertifikat, dan sekarang penghasilannya meningkat dari Rp 1,5 juta menjadi Rp 4,5 juta per bulan.</w:t>
      </w:r>
    </w:p>
    <w:p>
      <w:pPr>
        <w:spacing w:after="120" w:line="312"/>
        <w:ind w:firstLine="420"/>
        <w:jc w:val="both"/>
      </w:pPr>
      <w:r>
        <w:rPr>
          <w:rFonts w:ascii="Calibri" w:eastAsia="Microsoft YaHei"/>
          <w:color w:val="1A2E28"/>
          <w:sz w:val="24"/>
          <w:szCs w:val="24"/>
        </w:rPr>
        <w:t xml:space="preserve">Bu Ratna di Kupang kini mengakses pembiayaan melalui Kampung Modal dengan suku bunga yang wajar, bukan bunga lintah darat yang mematikan. Produk minyak kemirinya terjual di Marketplace Zonasi zona Kesehatan, dengan sertifikasi halal dan organik yang dibantu oleh tim KNBMP. Ia mendapatkan pelatihan branding dan packaging di JE-P3 Academy, dan pendapatannya tumbuh dari Rp 2 juta menjadi Rp 8 juta per bulan. Hutangnya pada rentenir sudah lunas, dan ia kini menjadi penasihat bagi wirausaha lain di desanya.</w:t>
      </w:r>
    </w:p>
    <w:p>
      <w:pPr>
        <w:pBdr>
          <w:left w:val="single" w:color="008F3D" w:sz="12" w:space="12"/>
        </w:pBdr>
        <w:spacing w:after="160" w:line="312"/>
        <w:ind w:left="600" w:right="600"/>
        <w:jc w:val="both"/>
      </w:pPr>
      <w:r>
        <w:rPr>
          <w:rFonts w:ascii="Calibri" w:eastAsia="Microsoft YaHei"/>
          <w:i/>
          <w:iCs/>
          <w:color w:val="5A7068"/>
          <w:sz w:val="24"/>
          <w:szCs w:val="24"/>
        </w:rPr>
        <w:t xml:space="preserve">“Mereka yang bergabung hari ini akan menjadi arsitek masa depan. Mereka yang menunda akan menjadi penonton sejarah.” — CTA Banner KOPNUSA.id</w:t>
      </w:r>
    </w:p>
    <w:p>
      <w:pPr>
        <w:pStyle w:val="Heading1"/>
        <w:spacing w:after="200" w:before="480" w:line="400"/>
      </w:pPr>
      <w:r>
        <w:rPr>
          <w:rFonts w:ascii="Calibri" w:eastAsia="SimHei"/>
          <w:b/>
          <w:bCs/>
          <w:color w:val="0C1F1A"/>
          <w:sz w:val="32"/>
          <w:szCs w:val="32"/>
        </w:rPr>
        <w:t xml:space="preserve">BAGIAN VII: PENUTUP — Narasi yang Terus Ditulis</w:t>
      </w:r>
    </w:p>
    <w:p>
      <w:pPr>
        <w:spacing w:after="120" w:line="312"/>
        <w:ind w:firstLine="420"/>
        <w:jc w:val="both"/>
      </w:pPr>
      <w:r>
        <w:rPr>
          <w:rFonts w:ascii="Calibri" w:eastAsia="Microsoft YaHei"/>
          <w:color w:val="1A2E28"/>
          <w:sz w:val="24"/>
          <w:szCs w:val="24"/>
        </w:rPr>
        <w:t xml:space="preserve">Narasi asal-usul KNBMP bukanlah kisah yang berakhir. Ia adalah kisah yang terus ditulis oleh setiap anggota yang bergabung, setiap desa yang terintegrasi, setiap transaksi yang dilakukan, dan setiap kehidupan yang berubah. Dari luka kemiskinan struktural, dari frustrasi terhadap sistem yang tidak adil, dari keberanian empat pendiri yang menolak menyerah — KNBMP lahir sebagai bukti bahwa alternatif itu mungkin.</w:t>
      </w:r>
    </w:p>
    <w:p>
      <w:pPr>
        <w:spacing w:after="120" w:line="312"/>
        <w:ind w:firstLine="420"/>
        <w:jc w:val="both"/>
      </w:pPr>
      <w:r>
        <w:rPr>
          <w:rFonts w:ascii="Calibri" w:eastAsia="Microsoft YaHei"/>
          <w:color w:val="1A2E28"/>
          <w:sz w:val="24"/>
          <w:szCs w:val="24"/>
        </w:rPr>
        <w:t xml:space="preserve">Pentagon Kedaulatan, Invisible Dues, Tier Petani GRATIS, Doktrin Anti-Oligarki, Escrow Mutlak — semua ini bukan sekadar fitur teknis. Mereka adalah pernyataan filosofis yang diterjemahkan ke dalam mekanisme operasional. Setiap fitur menjawab satu luka spesifik: Pentagon Kedaulatan menjawab oligarki, Invisible Dues menjawab penagihan memalukan, Tier Petani GRATIS menjawab hambatan keuangan, Doktrin Anti-Oligarki menjawab dominasi modal, dan Escrow Mutlak menjawab penyalahgunaan dana.</w:t>
      </w:r>
    </w:p>
    <w:p>
      <w:pPr>
        <w:spacing w:after="120" w:line="312"/>
        <w:ind w:firstLine="420"/>
        <w:jc w:val="both"/>
      </w:pPr>
      <w:r>
        <w:rPr>
          <w:rFonts w:ascii="Calibri" w:eastAsia="Microsoft YaHei"/>
          <w:color w:val="1A2E28"/>
          <w:sz w:val="24"/>
          <w:szCs w:val="24"/>
        </w:rPr>
        <w:t xml:space="preserve">KNBMP mengajak siapapun yang membaca narasi ini untuk bukan hanya menjadi penonton, melainkan menjadi penulis bab berikutnya. Portal pendaftaran di kopnusa.id/kpa telah dibuka. Lima KPA menanti. Tujuh nilai menuntun. Dan 83.763 desa menunggu untuk diintegrasikan ke dalam ekosistem ekonomi yang berdaulat, transparan, dan adil. Pilihan ada di tangan Anda.</w:t>
      </w:r>
    </w:p>
    <w:p>
      <w:pPr>
        <w:pStyle w:val="Heading1"/>
        <w:spacing w:after="200" w:before="480" w:line="400"/>
      </w:pPr>
      <w:r>
        <w:rPr>
          <w:rFonts w:ascii="Calibri" w:eastAsia="SimHei"/>
          <w:b/>
          <w:bCs/>
          <w:color w:val="0C1F1A"/>
          <w:sz w:val="32"/>
          <w:szCs w:val="32"/>
        </w:rPr>
        <w:t xml:space="preserve">LAMPIRAN: DATA PENDUKUNG</w:t>
      </w:r>
    </w:p>
    <w:p>
      <w:pPr>
        <w:pStyle w:val="Heading2"/>
        <w:spacing w:after="160" w:before="360" w:line="360"/>
      </w:pPr>
      <w:r>
        <w:rPr>
          <w:rFonts w:ascii="Calibri" w:eastAsia="SimHei"/>
          <w:b/>
          <w:bCs/>
          <w:color w:val="0C1F1A"/>
          <w:sz w:val="28"/>
          <w:szCs w:val="28"/>
        </w:rPr>
        <w:t xml:space="preserve">A. Kronologi Evolusi KNBMP</w:t>
      </w:r>
    </w:p>
    <w:tbl>
      <w:tblPr>
        <w:tblW w:type="pct" w:w="100%"/>
        <w:tblBorders>
          <w:top w:val="single" w:color="008F3D" w:sz="2"/>
          <w:left w:val="none"/>
          <w:bottom w:val="single" w:color="008F3D" w:sz="2"/>
          <w:right w:val="none"/>
          <w:insideH w:val="single" w:color="D0D8D0" w:sz="1"/>
          <w:insideV w:val="none"/>
        </w:tblBorders>
      </w:tblPr>
      <w:tblGrid>
        <w:gridCol w:w="100"/>
        <w:gridCol w:w="100"/>
        <w:gridCol w:w="100"/>
      </w:tblGrid>
      <w:tr>
        <w:trPr>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Tahun</w:t>
            </w:r>
          </w:p>
        </w:tc>
        <w:tc>
          <w:tcPr>
            <w:shd w:fill="2A7A65" w:val="clear"/>
            <w:tcMar>
              <w:top w:type="dxa" w:w="60"/>
              <w:left w:type="dxa" w:w="120"/>
              <w:bottom w:type="dxa" w:w="60"/>
              <w:right w:type="dxa" w:w="120"/>
            </w:tcMar>
          </w:tcPr>
          <w:p>
            <w:r>
              <w:rPr>
                <w:rFonts w:ascii="Calibri" w:eastAsia="SimHei"/>
                <w:b/>
                <w:bCs/>
                <w:color w:val="FFFFFF"/>
                <w:sz w:val="21"/>
                <w:szCs w:val="21"/>
              </w:rPr>
              <w:t xml:space="preserve">Peristiwa</w:t>
            </w:r>
          </w:p>
        </w:tc>
        <w:tc>
          <w:tcPr>
            <w:shd w:fill="2A7A65" w:val="clear"/>
            <w:tcMar>
              <w:top w:type="dxa" w:w="60"/>
              <w:left w:type="dxa" w:w="120"/>
              <w:bottom w:type="dxa" w:w="60"/>
              <w:right w:type="dxa" w:w="120"/>
            </w:tcMar>
          </w:tcPr>
          <w:p>
            <w:r>
              <w:rPr>
                <w:rFonts w:ascii="Calibri" w:eastAsia="SimHei"/>
                <w:b/>
                <w:bCs/>
                <w:color w:val="FFFFFF"/>
                <w:sz w:val="21"/>
                <w:szCs w:val="21"/>
              </w:rPr>
              <w:t xml:space="preserve">Keterangan</w:t>
            </w:r>
          </w:p>
        </w:tc>
      </w:tr>
      <w:tr>
        <w:tc>
          <w:tcPr>
            <w:shd w:fill="EDF5F2" w:val="clear"/>
            <w:tcMar>
              <w:top w:type="dxa" w:w="60"/>
              <w:left w:type="dxa" w:w="120"/>
              <w:bottom w:type="dxa" w:w="60"/>
              <w:right w:type="dxa" w:w="120"/>
            </w:tcMar>
          </w:tcPr>
          <w:p>
            <w:r>
              <w:rPr>
                <w:rFonts w:ascii="Calibri" w:eastAsia="Microsoft YaHei"/>
                <w:color w:val="1A2E28"/>
                <w:sz w:val="21"/>
                <w:szCs w:val="21"/>
              </w:rPr>
              <w:t xml:space="preserve">2016</w:t>
            </w:r>
          </w:p>
        </w:tc>
        <w:tc>
          <w:tcPr>
            <w:shd w:fill="EDF5F2" w:val="clear"/>
            <w:tcMar>
              <w:top w:type="dxa" w:w="60"/>
              <w:left w:type="dxa" w:w="120"/>
              <w:bottom w:type="dxa" w:w="60"/>
              <w:right w:type="dxa" w:w="120"/>
            </w:tcMar>
          </w:tcPr>
          <w:p>
            <w:r>
              <w:rPr>
                <w:rFonts w:ascii="Calibri" w:eastAsia="Microsoft YaHei"/>
                <w:color w:val="1A2E28"/>
                <w:sz w:val="21"/>
                <w:szCs w:val="21"/>
              </w:rPr>
              <w:t xml:space="preserve">Pendirian bisnisPPP</w:t>
            </w:r>
          </w:p>
        </w:tc>
        <w:tc>
          <w:tcPr>
            <w:shd w:fill="EDF5F2" w:val="clear"/>
            <w:tcMar>
              <w:top w:type="dxa" w:w="60"/>
              <w:left w:type="dxa" w:w="120"/>
              <w:bottom w:type="dxa" w:w="60"/>
              <w:right w:type="dxa" w:w="120"/>
            </w:tcMar>
          </w:tcPr>
          <w:p>
            <w:r>
              <w:rPr>
                <w:rFonts w:ascii="Calibri" w:eastAsia="Microsoft YaHei"/>
                <w:color w:val="1A2E28"/>
                <w:sz w:val="21"/>
                <w:szCs w:val="21"/>
              </w:rPr>
              <w:t xml:space="preserve">Platform digital UMKM dan PPP</w:t>
            </w:r>
          </w:p>
        </w:tc>
      </w:tr>
      <w:tr>
        <w:tc>
          <w:tcPr>
            <w:tcMar>
              <w:top w:type="dxa" w:w="60"/>
              <w:left w:type="dxa" w:w="120"/>
              <w:bottom w:type="dxa" w:w="60"/>
              <w:right w:type="dxa" w:w="120"/>
            </w:tcMar>
          </w:tcPr>
          <w:p>
            <w:r>
              <w:rPr>
                <w:rFonts w:ascii="Calibri" w:eastAsia="Microsoft YaHei"/>
                <w:color w:val="1A2E28"/>
                <w:sz w:val="21"/>
                <w:szCs w:val="21"/>
              </w:rPr>
              <w:t xml:space="preserve">2018</w:t>
            </w:r>
          </w:p>
        </w:tc>
        <w:tc>
          <w:tcPr>
            <w:tcMar>
              <w:top w:type="dxa" w:w="60"/>
              <w:left w:type="dxa" w:w="120"/>
              <w:bottom w:type="dxa" w:w="60"/>
              <w:right w:type="dxa" w:w="120"/>
            </w:tcMar>
          </w:tcPr>
          <w:p>
            <w:r>
              <w:rPr>
                <w:rFonts w:ascii="Calibri" w:eastAsia="Microsoft YaHei"/>
                <w:color w:val="1A2E28"/>
                <w:sz w:val="21"/>
                <w:szCs w:val="21"/>
              </w:rPr>
              <w:t xml:space="preserve">Pengamatan Lapangan</w:t>
            </w:r>
          </w:p>
        </w:tc>
        <w:tc>
          <w:tcPr>
            <w:tcMar>
              <w:top w:type="dxa" w:w="60"/>
              <w:left w:type="dxa" w:w="120"/>
              <w:bottom w:type="dxa" w:w="60"/>
              <w:right w:type="dxa" w:w="120"/>
            </w:tcMar>
          </w:tcPr>
          <w:p>
            <w:r>
              <w:rPr>
                <w:rFonts w:ascii="Calibri" w:eastAsia="Microsoft YaHei"/>
                <w:color w:val="1A2E28"/>
                <w:sz w:val="21"/>
                <w:szCs w:val="21"/>
              </w:rPr>
              <w:t xml:space="preserve">Kunjungan desa-desa di Jatim dan NTT</w:t>
            </w:r>
          </w:p>
        </w:tc>
      </w:tr>
      <w:tr>
        <w:tc>
          <w:tcPr>
            <w:shd w:fill="EDF5F2" w:val="clear"/>
            <w:tcMar>
              <w:top w:type="dxa" w:w="60"/>
              <w:left w:type="dxa" w:w="120"/>
              <w:bottom w:type="dxa" w:w="60"/>
              <w:right w:type="dxa" w:w="120"/>
            </w:tcMar>
          </w:tcPr>
          <w:p>
            <w:r>
              <w:rPr>
                <w:rFonts w:ascii="Calibri" w:eastAsia="Microsoft YaHei"/>
                <w:color w:val="1A2E28"/>
                <w:sz w:val="21"/>
                <w:szCs w:val="21"/>
              </w:rPr>
              <w:t xml:space="preserve">2020</w:t>
            </w:r>
          </w:p>
        </w:tc>
        <w:tc>
          <w:tcPr>
            <w:shd w:fill="EDF5F2" w:val="clear"/>
            <w:tcMar>
              <w:top w:type="dxa" w:w="60"/>
              <w:left w:type="dxa" w:w="120"/>
              <w:bottom w:type="dxa" w:w="60"/>
              <w:right w:type="dxa" w:w="120"/>
            </w:tcMar>
          </w:tcPr>
          <w:p>
            <w:r>
              <w:rPr>
                <w:rFonts w:ascii="Calibri" w:eastAsia="Microsoft YaHei"/>
                <w:color w:val="1A2E28"/>
                <w:sz w:val="21"/>
                <w:szCs w:val="21"/>
              </w:rPr>
              <w:t xml:space="preserve">Pendirian JP3</w:t>
            </w:r>
          </w:p>
        </w:tc>
        <w:tc>
          <w:tcPr>
            <w:shd w:fill="EDF5F2" w:val="clear"/>
            <w:tcMar>
              <w:top w:type="dxa" w:w="60"/>
              <w:left w:type="dxa" w:w="120"/>
              <w:bottom w:type="dxa" w:w="60"/>
              <w:right w:type="dxa" w:w="120"/>
            </w:tcMar>
          </w:tcPr>
          <w:p>
            <w:r>
              <w:rPr>
                <w:rFonts w:ascii="Calibri" w:eastAsia="Microsoft YaHei"/>
                <w:color w:val="1A2E28"/>
                <w:sz w:val="21"/>
                <w:szCs w:val="21"/>
              </w:rPr>
              <w:t xml:space="preserve">Respons darurat pandemi COVID-19</w:t>
            </w:r>
          </w:p>
        </w:tc>
      </w:tr>
      <w:tr>
        <w:tc>
          <w:tcPr>
            <w:tcMar>
              <w:top w:type="dxa" w:w="60"/>
              <w:left w:type="dxa" w:w="120"/>
              <w:bottom w:type="dxa" w:w="60"/>
              <w:right w:type="dxa" w:w="120"/>
            </w:tcMar>
          </w:tcPr>
          <w:p>
            <w:r>
              <w:rPr>
                <w:rFonts w:ascii="Calibri" w:eastAsia="Microsoft YaHei"/>
                <w:color w:val="1A2E28"/>
                <w:sz w:val="21"/>
                <w:szCs w:val="21"/>
              </w:rPr>
              <w:t xml:space="preserve">2022</w:t>
            </w:r>
          </w:p>
        </w:tc>
        <w:tc>
          <w:tcPr>
            <w:tcMar>
              <w:top w:type="dxa" w:w="60"/>
              <w:left w:type="dxa" w:w="120"/>
              <w:bottom w:type="dxa" w:w="60"/>
              <w:right w:type="dxa" w:w="120"/>
            </w:tcMar>
          </w:tcPr>
          <w:p>
            <w:r>
              <w:rPr>
                <w:rFonts w:ascii="Calibri" w:eastAsia="Microsoft YaHei"/>
                <w:color w:val="1A2E28"/>
                <w:sz w:val="21"/>
                <w:szCs w:val="21"/>
              </w:rPr>
              <w:t xml:space="preserve">Pengembangan Platform</w:t>
            </w:r>
          </w:p>
        </w:tc>
        <w:tc>
          <w:tcPr>
            <w:tcMar>
              <w:top w:type="dxa" w:w="60"/>
              <w:left w:type="dxa" w:w="120"/>
              <w:bottom w:type="dxa" w:w="60"/>
              <w:right w:type="dxa" w:w="120"/>
            </w:tcMar>
          </w:tcPr>
          <w:p>
            <w:r>
              <w:rPr>
                <w:rFonts w:ascii="Calibri" w:eastAsia="Microsoft YaHei"/>
                <w:color w:val="1A2E28"/>
                <w:sz w:val="21"/>
                <w:szCs w:val="21"/>
              </w:rPr>
              <w:t xml:space="preserve">Marketplace, JP3 Pay, Logistik Digital</w:t>
            </w:r>
          </w:p>
        </w:tc>
      </w:tr>
      <w:tr>
        <w:tc>
          <w:tcPr>
            <w:shd w:fill="EDF5F2" w:val="clear"/>
            <w:tcMar>
              <w:top w:type="dxa" w:w="60"/>
              <w:left w:type="dxa" w:w="120"/>
              <w:bottom w:type="dxa" w:w="60"/>
              <w:right w:type="dxa" w:w="120"/>
            </w:tcMar>
          </w:tcPr>
          <w:p>
            <w:r>
              <w:rPr>
                <w:rFonts w:ascii="Calibri" w:eastAsia="Microsoft YaHei"/>
                <w:color w:val="1A2E28"/>
                <w:sz w:val="21"/>
                <w:szCs w:val="21"/>
              </w:rPr>
              <w:t xml:space="preserve">2024</w:t>
            </w:r>
          </w:p>
        </w:tc>
        <w:tc>
          <w:tcPr>
            <w:shd w:fill="EDF5F2" w:val="clear"/>
            <w:tcMar>
              <w:top w:type="dxa" w:w="60"/>
              <w:left w:type="dxa" w:w="120"/>
              <w:bottom w:type="dxa" w:w="60"/>
              <w:right w:type="dxa" w:w="120"/>
            </w:tcMar>
          </w:tcPr>
          <w:p>
            <w:r>
              <w:rPr>
                <w:rFonts w:ascii="Calibri" w:eastAsia="Microsoft YaHei"/>
                <w:color w:val="1A2E28"/>
                <w:sz w:val="21"/>
                <w:szCs w:val="21"/>
              </w:rPr>
              <w:t xml:space="preserve">Perancangan AD/ART</w:t>
            </w:r>
          </w:p>
        </w:tc>
        <w:tc>
          <w:tcPr>
            <w:shd w:fill="EDF5F2" w:val="clear"/>
            <w:tcMar>
              <w:top w:type="dxa" w:w="60"/>
              <w:left w:type="dxa" w:w="120"/>
              <w:bottom w:type="dxa" w:w="60"/>
              <w:right w:type="dxa" w:w="120"/>
            </w:tcMar>
          </w:tcPr>
          <w:p>
            <w:r>
              <w:rPr>
                <w:rFonts w:ascii="Calibri" w:eastAsia="Microsoft YaHei"/>
                <w:color w:val="1A2E28"/>
                <w:sz w:val="21"/>
                <w:szCs w:val="21"/>
              </w:rPr>
              <w:t xml:space="preserve">Drafting Super Final Versi 7</w:t>
            </w:r>
          </w:p>
        </w:tc>
      </w:tr>
      <w:tr>
        <w:tc>
          <w:tcPr>
            <w:tcMar>
              <w:top w:type="dxa" w:w="60"/>
              <w:left w:type="dxa" w:w="120"/>
              <w:bottom w:type="dxa" w:w="60"/>
              <w:right w:type="dxa" w:w="120"/>
            </w:tcMar>
          </w:tcPr>
          <w:p>
            <w:r>
              <w:rPr>
                <w:rFonts w:ascii="Calibri" w:eastAsia="Microsoft YaHei"/>
                <w:color w:val="1A2E28"/>
                <w:sz w:val="21"/>
                <w:szCs w:val="21"/>
              </w:rPr>
              <w:t xml:space="preserve">21 Mar 2026</w:t>
            </w:r>
          </w:p>
        </w:tc>
        <w:tc>
          <w:tcPr>
            <w:tcMar>
              <w:top w:type="dxa" w:w="60"/>
              <w:left w:type="dxa" w:w="120"/>
              <w:bottom w:type="dxa" w:w="60"/>
              <w:right w:type="dxa" w:w="120"/>
            </w:tcMar>
          </w:tcPr>
          <w:p>
            <w:r>
              <w:rPr>
                <w:rFonts w:ascii="Calibri" w:eastAsia="Microsoft YaHei"/>
                <w:color w:val="1A2E28"/>
                <w:sz w:val="21"/>
                <w:szCs w:val="21"/>
              </w:rPr>
              <w:t xml:space="preserve">Pendirian KNBMP</w:t>
            </w:r>
          </w:p>
        </w:tc>
        <w:tc>
          <w:tcPr>
            <w:tcMar>
              <w:top w:type="dxa" w:w="60"/>
              <w:left w:type="dxa" w:w="120"/>
              <w:bottom w:type="dxa" w:w="60"/>
              <w:right w:type="dxa" w:w="120"/>
            </w:tcMar>
          </w:tcPr>
          <w:p>
            <w:r>
              <w:rPr>
                <w:rFonts w:ascii="Calibri" w:eastAsia="Microsoft YaHei"/>
                <w:color w:val="1A2E28"/>
                <w:sz w:val="21"/>
                <w:szCs w:val="21"/>
              </w:rPr>
              <w:t xml:space="preserve">Penandatanganan AD/ART oleh 17 pendiri</w:t>
            </w:r>
          </w:p>
        </w:tc>
      </w:tr>
      <w:tr>
        <w:tc>
          <w:tcPr>
            <w:shd w:fill="EDF5F2" w:val="clear"/>
            <w:tcMar>
              <w:top w:type="dxa" w:w="60"/>
              <w:left w:type="dxa" w:w="120"/>
              <w:bottom w:type="dxa" w:w="60"/>
              <w:right w:type="dxa" w:w="120"/>
            </w:tcMar>
          </w:tcPr>
          <w:p>
            <w:r>
              <w:rPr>
                <w:rFonts w:ascii="Calibri" w:eastAsia="Microsoft YaHei"/>
                <w:color w:val="1A2E28"/>
                <w:sz w:val="21"/>
                <w:szCs w:val="21"/>
              </w:rPr>
              <w:t xml:space="preserve">2026-2030</w:t>
            </w:r>
          </w:p>
        </w:tc>
        <w:tc>
          <w:tcPr>
            <w:shd w:fill="EDF5F2" w:val="clear"/>
            <w:tcMar>
              <w:top w:type="dxa" w:w="60"/>
              <w:left w:type="dxa" w:w="120"/>
              <w:bottom w:type="dxa" w:w="60"/>
              <w:right w:type="dxa" w:w="120"/>
            </w:tcMar>
          </w:tcPr>
          <w:p>
            <w:r>
              <w:rPr>
                <w:rFonts w:ascii="Calibri" w:eastAsia="Microsoft YaHei"/>
                <w:color w:val="1A2E28"/>
                <w:sz w:val="21"/>
                <w:szCs w:val="21"/>
              </w:rPr>
              <w:t xml:space="preserve">Fase Fondasi</w:t>
            </w:r>
          </w:p>
        </w:tc>
        <w:tc>
          <w:tcPr>
            <w:shd w:fill="EDF5F2" w:val="clear"/>
            <w:tcMar>
              <w:top w:type="dxa" w:w="60"/>
              <w:left w:type="dxa" w:w="120"/>
              <w:bottom w:type="dxa" w:w="60"/>
              <w:right w:type="dxa" w:w="120"/>
            </w:tcMar>
          </w:tcPr>
          <w:p>
            <w:r>
              <w:rPr>
                <w:rFonts w:ascii="Calibri" w:eastAsia="Microsoft YaHei"/>
                <w:color w:val="1A2E28"/>
                <w:sz w:val="21"/>
                <w:szCs w:val="21"/>
              </w:rPr>
              <w:t xml:space="preserve">Target 1 juta anggota, 1.000 desa pilot</w:t>
            </w:r>
          </w:p>
        </w:tc>
      </w:tr>
      <w:tr>
        <w:tc>
          <w:tcPr>
            <w:tcMar>
              <w:top w:type="dxa" w:w="60"/>
              <w:left w:type="dxa" w:w="120"/>
              <w:bottom w:type="dxa" w:w="60"/>
              <w:right w:type="dxa" w:w="120"/>
            </w:tcMar>
          </w:tcPr>
          <w:p>
            <w:r>
              <w:rPr>
                <w:rFonts w:ascii="Calibri" w:eastAsia="Microsoft YaHei"/>
                <w:color w:val="1A2E28"/>
                <w:sz w:val="21"/>
                <w:szCs w:val="21"/>
              </w:rPr>
              <w:t xml:space="preserve">2030-2035</w:t>
            </w:r>
          </w:p>
        </w:tc>
        <w:tc>
          <w:tcPr>
            <w:tcMar>
              <w:top w:type="dxa" w:w="60"/>
              <w:left w:type="dxa" w:w="120"/>
              <w:bottom w:type="dxa" w:w="60"/>
              <w:right w:type="dxa" w:w="120"/>
            </w:tcMar>
          </w:tcPr>
          <w:p>
            <w:r>
              <w:rPr>
                <w:rFonts w:ascii="Calibri" w:eastAsia="Microsoft YaHei"/>
                <w:color w:val="1A2E28"/>
                <w:sz w:val="21"/>
                <w:szCs w:val="21"/>
              </w:rPr>
              <w:t xml:space="preserve">Fase Skala</w:t>
            </w:r>
          </w:p>
        </w:tc>
        <w:tc>
          <w:tcPr>
            <w:tcMar>
              <w:top w:type="dxa" w:w="60"/>
              <w:left w:type="dxa" w:w="120"/>
              <w:bottom w:type="dxa" w:w="60"/>
              <w:right w:type="dxa" w:w="120"/>
            </w:tcMar>
          </w:tcPr>
          <w:p>
            <w:r>
              <w:rPr>
                <w:rFonts w:ascii="Calibri" w:eastAsia="Microsoft YaHei"/>
                <w:color w:val="1A2E28"/>
                <w:sz w:val="21"/>
                <w:szCs w:val="21"/>
              </w:rPr>
              <w:t xml:space="preserve">Target 5 juta anggota, ekspansi ASEAN</w:t>
            </w:r>
          </w:p>
        </w:tc>
      </w:tr>
      <w:tr>
        <w:tc>
          <w:tcPr>
            <w:shd w:fill="EDF5F2" w:val="clear"/>
            <w:tcMar>
              <w:top w:type="dxa" w:w="60"/>
              <w:left w:type="dxa" w:w="120"/>
              <w:bottom w:type="dxa" w:w="60"/>
              <w:right w:type="dxa" w:w="120"/>
            </w:tcMar>
          </w:tcPr>
          <w:p>
            <w:r>
              <w:rPr>
                <w:rFonts w:ascii="Calibri" w:eastAsia="Microsoft YaHei"/>
                <w:color w:val="1A2E28"/>
                <w:sz w:val="21"/>
                <w:szCs w:val="21"/>
              </w:rPr>
              <w:t xml:space="preserve">2035-2050</w:t>
            </w:r>
          </w:p>
        </w:tc>
        <w:tc>
          <w:tcPr>
            <w:shd w:fill="EDF5F2" w:val="clear"/>
            <w:tcMar>
              <w:top w:type="dxa" w:w="60"/>
              <w:left w:type="dxa" w:w="120"/>
              <w:bottom w:type="dxa" w:w="60"/>
              <w:right w:type="dxa" w:w="120"/>
            </w:tcMar>
          </w:tcPr>
          <w:p>
            <w:r>
              <w:rPr>
                <w:rFonts w:ascii="Calibri" w:eastAsia="Microsoft YaHei"/>
                <w:color w:val="1A2E28"/>
                <w:sz w:val="21"/>
                <w:szCs w:val="21"/>
              </w:rPr>
              <w:t xml:space="preserve">Fase Maturasi</w:t>
            </w:r>
          </w:p>
        </w:tc>
        <w:tc>
          <w:tcPr>
            <w:shd w:fill="EDF5F2" w:val="clear"/>
            <w:tcMar>
              <w:top w:type="dxa" w:w="60"/>
              <w:left w:type="dxa" w:w="120"/>
              <w:bottom w:type="dxa" w:w="60"/>
              <w:right w:type="dxa" w:w="120"/>
            </w:tcMar>
          </w:tcPr>
          <w:p>
            <w:r>
              <w:rPr>
                <w:rFonts w:ascii="Calibri" w:eastAsia="Microsoft YaHei"/>
                <w:color w:val="1A2E28"/>
                <w:sz w:val="21"/>
                <w:szCs w:val="21"/>
              </w:rPr>
              <w:t xml:space="preserve">Target 10 juta anggota, 83.763 desa</w:t>
            </w:r>
          </w:p>
        </w:tc>
      </w:tr>
    </w:tbl>
    <w:p>
      <w:pPr>
        <w:pStyle w:val="Heading2"/>
        <w:spacing w:after="160" w:before="360" w:line="360"/>
      </w:pPr>
      <w:r>
        <w:rPr>
          <w:rFonts w:ascii="Calibri" w:eastAsia="SimHei"/>
          <w:b/>
          <w:bCs/>
          <w:color w:val="0C1F1A"/>
          <w:sz w:val="28"/>
          <w:szCs w:val="28"/>
        </w:rPr>
        <w:t xml:space="preserve">B. Profil Keempat Pendiri</w:t>
      </w:r>
    </w:p>
    <w:tbl>
      <w:tblPr>
        <w:tblW w:type="pct" w:w="100%"/>
        <w:tblBorders>
          <w:top w:val="single" w:color="008F3D" w:sz="2"/>
          <w:left w:val="none"/>
          <w:bottom w:val="single" w:color="008F3D" w:sz="2"/>
          <w:right w:val="none"/>
          <w:insideH w:val="single" w:color="D0D8D0" w:sz="1"/>
          <w:insideV w:val="none"/>
        </w:tblBorders>
      </w:tblPr>
      <w:tblGrid>
        <w:gridCol w:w="100"/>
        <w:gridCol w:w="100"/>
        <w:gridCol w:w="100"/>
        <w:gridCol w:w="100"/>
      </w:tblGrid>
      <w:tr>
        <w:trPr>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Nama</w:t>
            </w:r>
          </w:p>
        </w:tc>
        <w:tc>
          <w:tcPr>
            <w:shd w:fill="2A7A65" w:val="clear"/>
            <w:tcMar>
              <w:top w:type="dxa" w:w="60"/>
              <w:left w:type="dxa" w:w="120"/>
              <w:bottom w:type="dxa" w:w="60"/>
              <w:right w:type="dxa" w:w="120"/>
            </w:tcMar>
          </w:tcPr>
          <w:p>
            <w:r>
              <w:rPr>
                <w:rFonts w:ascii="Calibri" w:eastAsia="SimHei"/>
                <w:b/>
                <w:bCs/>
                <w:color w:val="FFFFFF"/>
                <w:sz w:val="21"/>
                <w:szCs w:val="21"/>
              </w:rPr>
              <w:t xml:space="preserve">Dimensi</w:t>
            </w:r>
          </w:p>
        </w:tc>
        <w:tc>
          <w:tcPr>
            <w:shd w:fill="2A7A65" w:val="clear"/>
            <w:tcMar>
              <w:top w:type="dxa" w:w="60"/>
              <w:left w:type="dxa" w:w="120"/>
              <w:bottom w:type="dxa" w:w="60"/>
              <w:right w:type="dxa" w:w="120"/>
            </w:tcMar>
          </w:tcPr>
          <w:p>
            <w:r>
              <w:rPr>
                <w:rFonts w:ascii="Calibri" w:eastAsia="SimHei"/>
                <w:b/>
                <w:bCs/>
                <w:color w:val="FFFFFF"/>
                <w:sz w:val="21"/>
                <w:szCs w:val="21"/>
              </w:rPr>
              <w:t xml:space="preserve">Peran</w:t>
            </w:r>
          </w:p>
        </w:tc>
        <w:tc>
          <w:tcPr>
            <w:shd w:fill="2A7A65" w:val="clear"/>
            <w:tcMar>
              <w:top w:type="dxa" w:w="60"/>
              <w:left w:type="dxa" w:w="120"/>
              <w:bottom w:type="dxa" w:w="60"/>
              <w:right w:type="dxa" w:w="120"/>
            </w:tcMar>
          </w:tcPr>
          <w:p>
            <w:r>
              <w:rPr>
                <w:rFonts w:ascii="Calibri" w:eastAsia="SimHei"/>
                <w:b/>
                <w:bCs/>
                <w:color w:val="FFFFFF"/>
                <w:sz w:val="21"/>
                <w:szCs w:val="21"/>
              </w:rPr>
              <w:t xml:space="preserve">Status</w:t>
            </w:r>
          </w:p>
        </w:tc>
      </w:tr>
      <w:tr>
        <w:tc>
          <w:tcPr>
            <w:shd w:fill="EDF5F2" w:val="clear"/>
            <w:tcMar>
              <w:top w:type="dxa" w:w="60"/>
              <w:left w:type="dxa" w:w="120"/>
              <w:bottom w:type="dxa" w:w="60"/>
              <w:right w:type="dxa" w:w="120"/>
            </w:tcMar>
          </w:tcPr>
          <w:p>
            <w:r>
              <w:rPr>
                <w:rFonts w:ascii="Calibri" w:eastAsia="Microsoft YaHei"/>
                <w:color w:val="1A2E28"/>
                <w:sz w:val="21"/>
                <w:szCs w:val="21"/>
              </w:rPr>
              <w:t xml:space="preserve">Gugun Gunara</w:t>
            </w:r>
          </w:p>
        </w:tc>
        <w:tc>
          <w:tcPr>
            <w:shd w:fill="EDF5F2" w:val="clear"/>
            <w:tcMar>
              <w:top w:type="dxa" w:w="60"/>
              <w:left w:type="dxa" w:w="120"/>
              <w:bottom w:type="dxa" w:w="60"/>
              <w:right w:type="dxa" w:w="120"/>
            </w:tcMar>
          </w:tcPr>
          <w:p>
            <w:r>
              <w:rPr>
                <w:rFonts w:ascii="Calibri" w:eastAsia="Microsoft YaHei"/>
                <w:color w:val="1A2E28"/>
                <w:sz w:val="21"/>
                <w:szCs w:val="21"/>
              </w:rPr>
              <w:t xml:space="preserve">Bisnis-Negara</w:t>
            </w:r>
          </w:p>
        </w:tc>
        <w:tc>
          <w:tcPr>
            <w:shd w:fill="EDF5F2" w:val="clear"/>
            <w:tcMar>
              <w:top w:type="dxa" w:w="60"/>
              <w:left w:type="dxa" w:w="120"/>
              <w:bottom w:type="dxa" w:w="60"/>
              <w:right w:type="dxa" w:w="120"/>
            </w:tcMar>
          </w:tcPr>
          <w:p>
            <w:r>
              <w:rPr>
                <w:rFonts w:ascii="Calibri" w:eastAsia="Microsoft YaHei"/>
                <w:color w:val="1A2E28"/>
                <w:sz w:val="21"/>
                <w:szCs w:val="21"/>
              </w:rPr>
              <w:t xml:space="preserve">Grand Architect</w:t>
            </w:r>
          </w:p>
        </w:tc>
        <w:tc>
          <w:tcPr>
            <w:shd w:fill="EDF5F2" w:val="clear"/>
            <w:tcMar>
              <w:top w:type="dxa" w:w="60"/>
              <w:left w:type="dxa" w:w="120"/>
              <w:bottom w:type="dxa" w:w="60"/>
              <w:right w:type="dxa" w:w="120"/>
            </w:tcMar>
          </w:tcPr>
          <w:p>
            <w:r>
              <w:rPr>
                <w:rFonts w:ascii="Calibri" w:eastAsia="Microsoft YaHei"/>
                <w:color w:val="1A2E28"/>
                <w:sz w:val="21"/>
                <w:szCs w:val="21"/>
              </w:rPr>
              <w:t xml:space="preserve">Dominan</w:t>
            </w:r>
          </w:p>
        </w:tc>
      </w:tr>
      <w:tr>
        <w:tc>
          <w:tcPr>
            <w:tcMar>
              <w:top w:type="dxa" w:w="60"/>
              <w:left w:type="dxa" w:w="120"/>
              <w:bottom w:type="dxa" w:w="60"/>
              <w:right w:type="dxa" w:w="120"/>
            </w:tcMar>
          </w:tcPr>
          <w:p>
            <w:r>
              <w:rPr>
                <w:rFonts w:ascii="Calibri" w:eastAsia="Microsoft YaHei"/>
                <w:color w:val="1A2E28"/>
                <w:sz w:val="21"/>
                <w:szCs w:val="21"/>
              </w:rPr>
              <w:t xml:space="preserve">Muhammad Lutfi Azmi</w:t>
            </w:r>
          </w:p>
        </w:tc>
        <w:tc>
          <w:tcPr>
            <w:tcMar>
              <w:top w:type="dxa" w:w="60"/>
              <w:left w:type="dxa" w:w="120"/>
              <w:bottom w:type="dxa" w:w="60"/>
              <w:right w:type="dxa" w:w="120"/>
            </w:tcMar>
          </w:tcPr>
          <w:p>
            <w:r>
              <w:rPr>
                <w:rFonts w:ascii="Calibri" w:eastAsia="Microsoft YaHei"/>
                <w:color w:val="1A2E28"/>
                <w:sz w:val="21"/>
                <w:szCs w:val="21"/>
              </w:rPr>
              <w:t xml:space="preserve">Ruhani-Ilmiah</w:t>
            </w:r>
          </w:p>
        </w:tc>
        <w:tc>
          <w:tcPr>
            <w:tcMar>
              <w:top w:type="dxa" w:w="60"/>
              <w:left w:type="dxa" w:w="120"/>
              <w:bottom w:type="dxa" w:w="60"/>
              <w:right w:type="dxa" w:w="120"/>
            </w:tcMar>
          </w:tcPr>
          <w:p>
            <w:r>
              <w:rPr>
                <w:rFonts w:ascii="Calibri" w:eastAsia="Microsoft YaHei"/>
                <w:color w:val="1A2E28"/>
                <w:sz w:val="21"/>
                <w:szCs w:val="21"/>
              </w:rPr>
              <w:t xml:space="preserve">Sang Rohani-Ilmiah</w:t>
            </w:r>
          </w:p>
        </w:tc>
        <w:tc>
          <w:tcPr>
            <w:tcMar>
              <w:top w:type="dxa" w:w="60"/>
              <w:left w:type="dxa" w:w="120"/>
              <w:bottom w:type="dxa" w:w="60"/>
              <w:right w:type="dxa" w:w="120"/>
            </w:tcMar>
          </w:tcPr>
          <w:p>
            <w:r>
              <w:rPr>
                <w:rFonts w:ascii="Calibri" w:eastAsia="Microsoft YaHei"/>
                <w:color w:val="1A2E28"/>
                <w:sz w:val="21"/>
                <w:szCs w:val="21"/>
              </w:rPr>
              <w:t xml:space="preserve">Sekunder</w:t>
            </w:r>
          </w:p>
        </w:tc>
      </w:tr>
      <w:tr>
        <w:tc>
          <w:tcPr>
            <w:shd w:fill="EDF5F2" w:val="clear"/>
            <w:tcMar>
              <w:top w:type="dxa" w:w="60"/>
              <w:left w:type="dxa" w:w="120"/>
              <w:bottom w:type="dxa" w:w="60"/>
              <w:right w:type="dxa" w:w="120"/>
            </w:tcMar>
          </w:tcPr>
          <w:p>
            <w:r>
              <w:rPr>
                <w:rFonts w:ascii="Calibri" w:eastAsia="Microsoft YaHei"/>
                <w:color w:val="1A2E28"/>
                <w:sz w:val="21"/>
                <w:szCs w:val="21"/>
              </w:rPr>
              <w:t xml:space="preserve">Prabu Danling</w:t>
            </w:r>
          </w:p>
        </w:tc>
        <w:tc>
          <w:tcPr>
            <w:shd w:fill="EDF5F2" w:val="clear"/>
            <w:tcMar>
              <w:top w:type="dxa" w:w="60"/>
              <w:left w:type="dxa" w:w="120"/>
              <w:bottom w:type="dxa" w:w="60"/>
              <w:right w:type="dxa" w:w="120"/>
            </w:tcMar>
          </w:tcPr>
          <w:p>
            <w:r>
              <w:rPr>
                <w:rFonts w:ascii="Calibri" w:eastAsia="Microsoft YaHei"/>
                <w:color w:val="1A2E28"/>
                <w:sz w:val="21"/>
                <w:szCs w:val="21"/>
              </w:rPr>
              <w:t xml:space="preserve">Visi Peradaban</w:t>
            </w:r>
          </w:p>
        </w:tc>
        <w:tc>
          <w:tcPr>
            <w:shd w:fill="EDF5F2" w:val="clear"/>
            <w:tcMar>
              <w:top w:type="dxa" w:w="60"/>
              <w:left w:type="dxa" w:w="120"/>
              <w:bottom w:type="dxa" w:w="60"/>
              <w:right w:type="dxa" w:w="120"/>
            </w:tcMar>
          </w:tcPr>
          <w:p>
            <w:r>
              <w:rPr>
                <w:rFonts w:ascii="Calibri" w:eastAsia="Microsoft YaHei"/>
                <w:color w:val="1A2E28"/>
                <w:sz w:val="21"/>
                <w:szCs w:val="21"/>
              </w:rPr>
              <w:t xml:space="preserve">Sang Visi Peradaban</w:t>
            </w:r>
          </w:p>
        </w:tc>
        <w:tc>
          <w:tcPr>
            <w:shd w:fill="EDF5F2" w:val="clear"/>
            <w:tcMar>
              <w:top w:type="dxa" w:w="60"/>
              <w:left w:type="dxa" w:w="120"/>
              <w:bottom w:type="dxa" w:w="60"/>
              <w:right w:type="dxa" w:w="120"/>
            </w:tcMar>
          </w:tcPr>
          <w:p>
            <w:r>
              <w:rPr>
                <w:rFonts w:ascii="Calibri" w:eastAsia="Microsoft YaHei"/>
                <w:color w:val="1A2E28"/>
                <w:sz w:val="21"/>
                <w:szCs w:val="21"/>
              </w:rPr>
              <w:t xml:space="preserve">Tersembunyi</w:t>
            </w:r>
          </w:p>
        </w:tc>
      </w:tr>
      <w:tr>
        <w:tc>
          <w:tcPr>
            <w:tcMar>
              <w:top w:type="dxa" w:w="60"/>
              <w:left w:type="dxa" w:w="120"/>
              <w:bottom w:type="dxa" w:w="60"/>
              <w:right w:type="dxa" w:w="120"/>
            </w:tcMar>
          </w:tcPr>
          <w:p>
            <w:r>
              <w:rPr>
                <w:rFonts w:ascii="Calibri" w:eastAsia="Microsoft YaHei"/>
                <w:color w:val="1A2E28"/>
                <w:sz w:val="21"/>
                <w:szCs w:val="21"/>
              </w:rPr>
              <w:t xml:space="preserve">Santri Angon</w:t>
            </w:r>
          </w:p>
        </w:tc>
        <w:tc>
          <w:tcPr>
            <w:tcMar>
              <w:top w:type="dxa" w:w="60"/>
              <w:left w:type="dxa" w:w="120"/>
              <w:bottom w:type="dxa" w:w="60"/>
              <w:right w:type="dxa" w:w="120"/>
            </w:tcMar>
          </w:tcPr>
          <w:p>
            <w:r>
              <w:rPr>
                <w:rFonts w:ascii="Calibri" w:eastAsia="Microsoft YaHei"/>
                <w:color w:val="1A2E28"/>
                <w:sz w:val="21"/>
                <w:szCs w:val="21"/>
              </w:rPr>
              <w:t xml:space="preserve">Kemanusiaan</w:t>
            </w:r>
          </w:p>
        </w:tc>
        <w:tc>
          <w:tcPr>
            <w:tcMar>
              <w:top w:type="dxa" w:w="60"/>
              <w:left w:type="dxa" w:w="120"/>
              <w:bottom w:type="dxa" w:w="60"/>
              <w:right w:type="dxa" w:w="120"/>
            </w:tcMar>
          </w:tcPr>
          <w:p>
            <w:r>
              <w:rPr>
                <w:rFonts w:ascii="Calibri" w:eastAsia="Microsoft YaHei"/>
                <w:color w:val="1A2E28"/>
                <w:sz w:val="21"/>
                <w:szCs w:val="21"/>
              </w:rPr>
              <w:t xml:space="preserve">Sang Kemanusiaan</w:t>
            </w:r>
          </w:p>
        </w:tc>
        <w:tc>
          <w:tcPr>
            <w:tcMar>
              <w:top w:type="dxa" w:w="60"/>
              <w:left w:type="dxa" w:w="120"/>
              <w:bottom w:type="dxa" w:w="60"/>
              <w:right w:type="dxa" w:w="120"/>
            </w:tcMar>
          </w:tcPr>
          <w:p>
            <w:r>
              <w:rPr>
                <w:rFonts w:ascii="Calibri" w:eastAsia="Microsoft YaHei"/>
                <w:color w:val="1A2E28"/>
                <w:sz w:val="21"/>
                <w:szCs w:val="21"/>
              </w:rPr>
              <w:t xml:space="preserve">Tersembunyi</w:t>
            </w:r>
          </w:p>
        </w:tc>
      </w:tr>
    </w:tbl>
    <w:p>
      <w:pPr>
        <w:spacing w:after="60"/>
      </w:pPr>
    </w:p>
    <w:p>
      <w:pPr>
        <w:spacing w:after="120" w:line="312"/>
        <w:ind w:firstLine="0"/>
        <w:jc w:val="left"/>
      </w:pPr>
      <w:r>
        <w:rPr>
          <w:rFonts w:ascii="Calibri" w:eastAsia="Microsoft YaHei"/>
          <w:color w:val="1A2E28"/>
          <w:sz w:val="24"/>
          <w:szCs w:val="24"/>
        </w:rPr>
        <w:t xml:space="preserve">Dokumen ini ditetapkan di Jakarta pada tanggal 21 Maret 2026 dan merupakan bagian tidak terpisahkan dari seri dokumen PGA (Panduan Grand Arsitektur) KNBMP.</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A7068"/>
        <w:sz w:val="18"/>
        <w:szCs w:val="18"/>
      </w:rPr>
      <w:t xml:space="preserve">PGA-04 | KNBMP — Story of Origin | </w:t>
    </w:r>
    <w:r>
      <w:rPr>
        <w:color w:val="5A70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E2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2026-04-17T01:01:31.514Z</dcterms:created>
  <dcterms:modified xsi:type="dcterms:W3CDTF">2026-04-17T01:01:31.515Z</dcterms:modified>
</cp:coreProperties>
</file>

<file path=docProps/custom.xml><?xml version="1.0" encoding="utf-8"?>
<Properties xmlns="http://schemas.openxmlformats.org/officeDocument/2006/custom-properties" xmlns:vt="http://schemas.openxmlformats.org/officeDocument/2006/docPropsVTypes"/>
</file>