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252" w:after="0" w:line="240" w:lineRule="auto"/>
        <w:jc w:val="left"/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Arial" w:hAnsi="Arial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476pt;height:28.55pt;z-index:-1000;margin-left:75.5pt;margin-top:7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center"/>
                    <w:framePr w:hAnchor="page" w:vAnchor="page" w:x="1510" w:y="1480" w:w="9520" w:h="571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Amended Award
</w:t>
                    <w:br/>
                  </w:r>
                  <w:r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NASD Dispute Resolution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Arial" w:hAnsi="Arial"/>
        </w:rPr>
        <w:t xml:space="preserve">In the Matter of the Arbitration Between:</w:t>
      </w:r>
    </w:p>
    <w:p>
      <w:pPr>
        <w:ind w:right="0" w:left="0" w:firstLine="0"/>
        <w:spacing w:before="216" w:after="0" w:line="268" w:lineRule="auto"/>
        <w:jc w:val="left"/>
        <w:tabs>
          <w:tab w:val="right" w:leader="none" w:pos="7696"/>
        </w:tabs>
        <w:rPr>
          <w:b w:val="true"/>
          <w:color w:val="#000000"/>
          <w:sz w:val="24"/>
          <w:lang w:val="en-US"/>
          <w:spacing w:val="-8"/>
          <w:w w:val="100"/>
          <w:strike w:val="false"/>
          <w:u w:val="singl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u w:val="single"/>
          <w:vertAlign w:val="baseline"/>
          <w:rFonts w:ascii="Arial" w:hAnsi="Arial"/>
        </w:rPr>
        <w:t xml:space="preserve">Name of the Claimant	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u w:val="single"/>
          <w:vertAlign w:val="baseline"/>
          <w:rFonts w:ascii="Arial" w:hAnsi="Arial"/>
        </w:rPr>
        <w:t xml:space="preserve">Case Number: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 04-03102</w:t>
      </w:r>
    </w:p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William H. Durham, M.D.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4710"/>
        <w:gridCol w:w="4810"/>
      </w:tblGrid>
      <w:tr>
        <w:trPr>
          <w:trHeight w:val="303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1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b w:val="true"/>
                <w:color w:val="#000000"/>
                <w:sz w:val="24"/>
                <w:lang w:val="en-US"/>
                <w:spacing w:val="-8"/>
                <w:w w:val="100"/>
                <w:strike w:val="false"/>
                <w:u w:val="singl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4"/>
                <w:lang w:val="en-US"/>
                <w:spacing w:val="-8"/>
                <w:w w:val="100"/>
                <w:strike w:val="false"/>
                <w:u w:val="single"/>
                <w:vertAlign w:val="baseline"/>
                <w:rFonts w:ascii="Arial" w:hAnsi="Arial"/>
              </w:rPr>
              <w:t xml:space="preserve">Names of the Respondents </w:t>
            </w:r>
          </w:p>
          <w:p>
            <w:pPr>
              <w:ind w:right="288" w:left="0" w:firstLine="0"/>
              <w:spacing w:before="0" w:after="0" w:line="240" w:lineRule="auto"/>
              <w:jc w:val="left"/>
              <w:rPr>
                <w:b w:val="true"/>
                <w:color w:val="#000000"/>
                <w:sz w:val="24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4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  <w:t xml:space="preserve">Merrill Lynch Pierce, Fenner &amp; Smith, Inc. </w:t>
            </w:r>
            <w:r>
              <w:rPr>
                <w:b w:val="true"/>
                <w:color w:val="#000000"/>
                <w:sz w:val="2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Henry Blodget</w:t>
            </w:r>
          </w:p>
          <w:p>
            <w:pPr>
              <w:ind w:right="0" w:left="0" w:firstLine="0"/>
              <w:spacing w:before="0" w:after="0" w:line="213" w:lineRule="auto"/>
              <w:jc w:val="left"/>
              <w:rPr>
                <w:b w:val="true"/>
                <w:color w:val="#000000"/>
                <w:sz w:val="2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Justin Baldauf</w:t>
            </w:r>
          </w:p>
          <w:p>
            <w:pPr>
              <w:ind w:right="0" w:left="0" w:firstLine="0"/>
              <w:spacing w:before="36" w:after="0" w:line="240" w:lineRule="auto"/>
              <w:jc w:val="left"/>
              <w:rPr>
                <w:b w:val="true"/>
                <w:color w:val="#000000"/>
                <w:sz w:val="2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Kirsten Campbell</w:t>
            </w:r>
          </w:p>
          <w:p>
            <w:pPr>
              <w:ind w:right="0" w:left="0" w:firstLine="0"/>
              <w:spacing w:before="0" w:after="0" w:line="240" w:lineRule="auto"/>
              <w:jc w:val="left"/>
              <w:rPr>
                <w:b w:val="true"/>
                <w:color w:val="#000000"/>
                <w:sz w:val="24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4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  <w:t xml:space="preserve">Virginia Syer Genereux</w:t>
            </w:r>
          </w:p>
          <w:p>
            <w:pPr>
              <w:ind w:right="0" w:left="0" w:firstLine="0"/>
              <w:spacing w:before="0" w:after="0" w:line="206" w:lineRule="auto"/>
              <w:jc w:val="left"/>
              <w:rPr>
                <w:b w:val="true"/>
                <w:color w:val="#000000"/>
                <w:sz w:val="24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4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  <w:t xml:space="preserve">Sofia Ghachem</w:t>
            </w:r>
          </w:p>
          <w:p>
            <w:pPr>
              <w:ind w:right="0" w:left="0" w:firstLine="0"/>
              <w:spacing w:before="0" w:after="0" w:line="240" w:lineRule="auto"/>
              <w:jc w:val="left"/>
              <w:rPr>
                <w:b w:val="true"/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Edward McCabe</w:t>
            </w:r>
          </w:p>
          <w:p>
            <w:pPr>
              <w:ind w:right="0" w:left="0" w:firstLine="0"/>
              <w:spacing w:before="0" w:after="0" w:line="240" w:lineRule="auto"/>
              <w:jc w:val="left"/>
              <w:rPr>
                <w:b w:val="true"/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Deepak Raj</w:t>
            </w:r>
          </w:p>
          <w:p>
            <w:pPr>
              <w:ind w:right="0" w:left="0" w:firstLine="0"/>
              <w:spacing w:before="0" w:after="0" w:line="240" w:lineRule="auto"/>
              <w:jc w:val="left"/>
              <w:rPr>
                <w:b w:val="true"/>
                <w:color w:val="#000000"/>
                <w:sz w:val="2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Phua K. Young</w:t>
            </w:r>
          </w:p>
          <w:p>
            <w:pPr>
              <w:ind w:right="0" w:left="0" w:firstLine="0"/>
              <w:spacing w:before="0" w:after="0" w:line="213" w:lineRule="auto"/>
              <w:jc w:val="left"/>
              <w:rPr>
                <w:b w:val="true"/>
                <w:color w:val="#000000"/>
                <w:sz w:val="24"/>
                <w:lang w:val="en-US"/>
                <w:spacing w:val="-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4"/>
                <w:lang w:val="en-US"/>
                <w:spacing w:val="-6"/>
                <w:w w:val="100"/>
                <w:strike w:val="false"/>
                <w:vertAlign w:val="baseline"/>
                <w:rFonts w:ascii="Arial" w:hAnsi="Arial"/>
              </w:rPr>
              <w:t xml:space="preserve">Fund Asset Management, L.P.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5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24"/>
                <w:lang w:val="en-US"/>
                <w:spacing w:val="-4"/>
                <w:w w:val="100"/>
                <w:strike w:val="false"/>
                <w:u w:val="singl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4"/>
                <w:lang w:val="en-US"/>
                <w:spacing w:val="-4"/>
                <w:w w:val="100"/>
                <w:strike w:val="false"/>
                <w:u w:val="single"/>
                <w:vertAlign w:val="baseline"/>
                <w:rFonts w:ascii="Arial" w:hAnsi="Arial"/>
              </w:rPr>
              <w:t xml:space="preserve">Hearing Site:</w:t>
            </w:r>
            <w:r>
              <w:rPr>
                <w:b w:val="true"/>
                <w:color w:val="#000000"/>
                <w:sz w:val="2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 New Orleans, Louisiana</w:t>
            </w:r>
          </w:p>
        </w:tc>
      </w:tr>
    </w:tbl>
    <w:p>
      <w:pPr>
        <w:spacing w:before="0" w:after="160" w:line="20" w:lineRule="exact"/>
      </w:pPr>
    </w:p>
    <w:p>
      <w:pPr>
        <w:ind w:right="0" w:left="0" w:firstLine="0"/>
        <w:spacing w:before="32" w:after="0" w:line="240" w:lineRule="auto"/>
        <w:jc w:val="left"/>
        <w:pBdr>
          <w:top w:sz="24" w:space="2" w:color="#000000" w:val="single"/>
        </w:pBdr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Arial" w:hAnsi="Arial"/>
        </w:rPr>
      </w:pPr>
      <w:r>
        <w:pict>
          <v:line strokeweight="3.25pt" strokecolor="#000000" from="-0.75pt,-247.35pt" to="468.4pt,-247.3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Nature of the Dispute: Customer vs. Member, Non-Member and Associated Person.</w:t>
      </w:r>
    </w:p>
    <w:p>
      <w:pPr>
        <w:ind w:right="0" w:left="2808" w:firstLine="0"/>
        <w:spacing w:before="324" w:after="0" w:line="216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u w:val="singl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u w:val="single"/>
          <w:vertAlign w:val="baseline"/>
          <w:rFonts w:ascii="Arial" w:hAnsi="Arial"/>
        </w:rPr>
        <w:t xml:space="preserve">REPRESENTATION OF PARTIES</w:t>
      </w:r>
    </w:p>
    <w:p>
      <w:pPr>
        <w:ind w:right="432" w:left="0" w:firstLine="0"/>
        <w:spacing w:before="288" w:after="0" w:line="240" w:lineRule="auto"/>
        <w:jc w:val="left"/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For William H. Durham, M.D., hereinafter referred to as "Claimant": John G. Corlew, </w:t>
      </w:r>
      <w:r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Arial" w:hAnsi="Arial"/>
        </w:rPr>
        <w:t xml:space="preserve">Esq., Watkins &amp; Eager, Jackson, Mississippi and Kirk Reasonover, Esq., Reasonover </w:t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Law Firm, LLC, New Orleans, Louisiana.</w:t>
      </w:r>
    </w:p>
    <w:p>
      <w:pPr>
        <w:ind w:right="648" w:left="0" w:firstLine="0"/>
        <w:spacing w:before="288" w:after="0" w:line="240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For Merrill Lynch Pierce, Fenner &amp; Smith, Inc., Inc. ("ML"): Peter S. Fruin, Esq. and </w:t>
      </w:r>
      <w:r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Bradley B. Rounsaville, Esq., Maynard, Cooper &amp; Gale, P.C. Birmingham, Alabama.</w:t>
      </w:r>
    </w:p>
    <w:p>
      <w:pPr>
        <w:ind w:right="360" w:left="0" w:firstLine="0"/>
        <w:spacing w:before="252" w:after="0" w:line="240" w:lineRule="auto"/>
        <w:jc w:val="left"/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Arial" w:hAnsi="Arial"/>
        </w:rPr>
        <w:t xml:space="preserve">For Henry Blodget ("Blodget"}: Joseph D. Edmondson, Jr., Esq., Foley &amp; Lardner, LLP,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Washington, DC.</w:t>
      </w:r>
    </w:p>
    <w:p>
      <w:pPr>
        <w:ind w:right="432" w:left="0" w:firstLine="0"/>
        <w:spacing w:before="288" w:after="0" w:line="240" w:lineRule="auto"/>
        <w:jc w:val="left"/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Arial" w:hAnsi="Arial"/>
        </w:rPr>
        <w:t xml:space="preserve">For Justin Baldauf ("Baldauf"), Kirsten Campbell ("Campbell"), Virginia Syer Genereux </w:t>
      </w:r>
      <w:r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Arial" w:hAnsi="Arial"/>
        </w:rPr>
        <w:t xml:space="preserve">("Genereux") and Edward McCabe ("McCabe'): Ellen V. Endrizzi, Esq., Sidley Austin </w:t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Brown &amp; Wood, LLP, New York, New York.</w:t>
      </w:r>
    </w:p>
    <w:p>
      <w:pPr>
        <w:ind w:right="0" w:left="0" w:firstLine="0"/>
        <w:spacing w:before="288" w:after="0" w:line="240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Sofia Ghachem ("Ghachem") appeared pro se.</w:t>
      </w:r>
    </w:p>
    <w:p>
      <w:pPr>
        <w:ind w:right="360" w:left="0" w:firstLine="0"/>
        <w:spacing w:before="288" w:after="0" w:line="240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For Deepak Raj ("Raj"): Betty Santangelo, Esq., Shulte, Roth &amp; Zabel, LLP, New York,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New York.</w:t>
      </w:r>
    </w:p>
    <w:p>
      <w:pPr>
        <w:ind w:right="288" w:left="0" w:firstLine="0"/>
        <w:spacing w:before="288" w:after="0" w:line="240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For Phua K. Young ("Young"): Vicki F. Andreadis, Esq., Hughes Hubbard &amp; Reed, LLP, </w:t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New York, New York.</w:t>
      </w:r>
    </w:p>
    <w:p>
      <w:pPr>
        <w:ind w:right="0" w:left="0" w:firstLine="0"/>
        <w:spacing w:before="216" w:after="0" w:line="240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Fund Asset Management, L.P. did not submit to arbitration.</w:t>
      </w:r>
    </w:p>
    <w:p>
      <w:pPr>
        <w:sectPr>
          <w:pgSz w:w="12240" w:h="15840" w:orient="portrait"/>
          <w:type w:val="nextPage"/>
          <w:textDirection w:val="lrTb"/>
          <w:pgMar w:bottom="632" w:top="2329" w:right="1150" w:left="1510" w:header="720" w:footer="720"/>
          <w:titlePg w:val="false"/>
        </w:sectPr>
      </w:pPr>
    </w:p>
    <w:p>
      <w:pPr>
        <w:ind w:right="6336" w:left="72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NASD Dispute Resolution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Arbitration No. 04-03102 </w:t>
      </w:r>
      <w:r>
        <w:rPr>
          <w:b w:val="true"/>
          <w:color w:val="#000000"/>
          <w:sz w:val="24"/>
          <w:lang w:val="en-US"/>
          <w:spacing w:val="-11"/>
          <w:w w:val="100"/>
          <w:strike w:val="false"/>
          <w:u w:val="single"/>
          <w:vertAlign w:val="baseline"/>
          <w:rFonts w:ascii="Arial" w:hAnsi="Arial"/>
        </w:rPr>
        <w:t xml:space="preserve">Amended Award Page 2 of 7 </w:t>
      </w:r>
    </w:p>
    <w:p>
      <w:pPr>
        <w:ind w:right="0" w:left="0" w:firstLine="0"/>
        <w:spacing w:before="180" w:after="0" w:line="216" w:lineRule="auto"/>
        <w:jc w:val="center"/>
        <w:rPr>
          <w:b w:val="true"/>
          <w:color w:val="#000000"/>
          <w:sz w:val="24"/>
          <w:lang w:val="en-US"/>
          <w:spacing w:val="0"/>
          <w:w w:val="100"/>
          <w:strike w:val="false"/>
          <w:u w:val="singl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u w:val="single"/>
          <w:vertAlign w:val="baseline"/>
          <w:rFonts w:ascii="Arial" w:hAnsi="Arial"/>
        </w:rPr>
        <w:t xml:space="preserve">CASE INFORMATION </w:t>
      </w:r>
    </w:p>
    <w:p>
      <w:pPr>
        <w:ind w:right="0" w:left="144" w:firstLine="0"/>
        <w:spacing w:before="324" w:after="0" w:line="240" w:lineRule="auto"/>
        <w:jc w:val="left"/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Statement of Claim filed on or about: April 27, 2004.</w:t>
      </w:r>
    </w:p>
    <w:p>
      <w:pPr>
        <w:ind w:right="0" w:left="72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Amended Statement of Claim filed on or about: May 3, 2004.</w:t>
      </w:r>
    </w:p>
    <w:p>
      <w:pPr>
        <w:ind w:right="0" w:left="144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Claimant signed the Uniform Submission Agreement: March 13, 2004.</w:t>
      </w:r>
    </w:p>
    <w:p>
      <w:pPr>
        <w:ind w:right="144" w:left="144" w:firstLine="0"/>
        <w:spacing w:before="36" w:after="0" w:line="240" w:lineRule="auto"/>
        <w:jc w:val="left"/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Arial" w:hAnsi="Arial"/>
        </w:rPr>
        <w:t xml:space="preserve">Statement of Answer to the Amended Statement of Claim filed by Respondent ML on or </w:t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about: August 12, 2004.</w:t>
      </w:r>
    </w:p>
    <w:p>
      <w:pPr>
        <w:ind w:right="288" w:left="144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Statement of Answer to the Amended Statement of Claim filed by Respondent Blodget </w:t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on or about: August 13, 2004.</w:t>
      </w:r>
    </w:p>
    <w:p>
      <w:pPr>
        <w:ind w:right="288" w:left="144" w:firstLine="0"/>
        <w:spacing w:before="36" w:after="0" w:line="240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Statement of Answer the Amended Statement of Claim filed by Respondent Young on </w:t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or about: September 14, 2004.</w:t>
      </w:r>
    </w:p>
    <w:p>
      <w:pPr>
        <w:ind w:right="0" w:left="144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Arial" w:hAnsi="Arial"/>
        </w:rPr>
        <w:t xml:space="preserve">Respondent ML did not sign the Uniform Submission Agreement.</w:t>
      </w:r>
    </w:p>
    <w:p>
      <w:pPr>
        <w:ind w:right="1008" w:left="144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Arial" w:hAnsi="Arial"/>
        </w:rPr>
        <w:t xml:space="preserve">Respondent Blodget signed the Uniform Submission Agreement: July 28, 2004. </w:t>
      </w:r>
      <w:r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Arial" w:hAnsi="Arial"/>
        </w:rPr>
        <w:t xml:space="preserve">Respondent Baldauf did not sign the Uniform Submission Agreement.</w:t>
      </w:r>
    </w:p>
    <w:p>
      <w:pPr>
        <w:ind w:right="432" w:left="144" w:firstLine="0"/>
        <w:spacing w:before="0" w:after="0" w:line="240" w:lineRule="auto"/>
        <w:jc w:val="both"/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Arial" w:hAnsi="Arial"/>
        </w:rPr>
        <w:t xml:space="preserve">Respondent Campbell signed the Uniform Submission Agreement: August 20, 2004. </w:t>
      </w:r>
      <w: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Arial" w:hAnsi="Arial"/>
        </w:rPr>
        <w:t xml:space="preserve">Respondent Genereux signed the Uniform Submission Agreement: August 10, 2004.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Respondent Ghachem did not sign the Uniform Submission Agreement.</w:t>
      </w:r>
    </w:p>
    <w:p>
      <w:pPr>
        <w:ind w:right="0" w:left="144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Respondent McCabe did not sign the Uniform Submission Agreement.</w:t>
      </w:r>
    </w:p>
    <w:p>
      <w:pPr>
        <w:ind w:right="576" w:left="144" w:firstLine="0"/>
        <w:spacing w:before="36" w:after="0" w:line="240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Respondent Raj signed the Uniform Submission Agreement: August 28, 2004. </w:t>
      </w:r>
      <w:r>
        <w:rPr>
          <w:b w:val="true"/>
          <w:color w:val="#000000"/>
          <w:sz w:val="24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Respondent Young signed the Uniform Submission Agreement: July 9, 2004. </w:t>
      </w: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Arial" w:hAnsi="Arial"/>
        </w:rPr>
        <w:t xml:space="preserve">Motion to Dismiss and Answer filed by Respondents Campbell and Genereux on or </w:t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about: August 27, 2004.</w:t>
      </w:r>
    </w:p>
    <w:p>
      <w:pPr>
        <w:ind w:right="1008" w:left="144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Arial" w:hAnsi="Arial"/>
        </w:rPr>
        <w:t xml:space="preserve">Motion to Dismiss filed by Respondent Young on or about: February 8, 2005. </w:t>
      </w:r>
      <w: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Arial" w:hAnsi="Arial"/>
        </w:rPr>
        <w:t xml:space="preserve">Motion </w:t>
      </w:r>
      <w:r>
        <w:rPr>
          <w:b w:val="true"/>
          <w:color w:val="#000000"/>
          <w:sz w:val="23"/>
          <w:lang w:val="en-US"/>
          <w:spacing w:val="-13"/>
          <w:w w:val="100"/>
          <w:strike w:val="false"/>
          <w:vertAlign w:val="baseline"/>
          <w:rFonts w:ascii="Arial" w:hAnsi="Arial"/>
        </w:rPr>
        <w:t xml:space="preserve">to </w:t>
      </w:r>
      <w: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Arial" w:hAnsi="Arial"/>
        </w:rPr>
        <w:t xml:space="preserve">Dismiss Statement of Claim filed by Respondent Blodget on or about: </w:t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February 8, 2005.</w:t>
      </w:r>
    </w:p>
    <w:p>
      <w:pPr>
        <w:ind w:right="432" w:left="144" w:firstLine="0"/>
        <w:spacing w:before="36" w:after="0" w:line="240" w:lineRule="auto"/>
        <w:jc w:val="left"/>
        <w:rPr>
          <w:b w:val="true"/>
          <w:color w:val="#000000"/>
          <w:sz w:val="23"/>
          <w:lang w:val="en-US"/>
          <w:spacing w:val="-7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3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Memorandum Brief in Opposition to Motions to Dismiss of Respondents Blodget and </w:t>
      </w:r>
      <w:r>
        <w:rPr>
          <w:b w:val="true"/>
          <w:color w:val="#000000"/>
          <w:sz w:val="23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Young filed by Claimant </w:t>
      </w:r>
      <w:r>
        <w:rPr>
          <w:b w:val="true"/>
          <w:color w:val="#000000"/>
          <w:sz w:val="24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on or about: March 11, 2005.</w:t>
      </w:r>
    </w:p>
    <w:p>
      <w:pPr>
        <w:ind w:right="0" w:left="144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Respondents Baldauf, Ghachem, McCabe and Raj did not file Statements of Answer.</w:t>
      </w:r>
    </w:p>
    <w:p>
      <w:pPr>
        <w:ind w:right="0" w:left="0" w:firstLine="0"/>
        <w:spacing w:before="288" w:after="0" w:line="216" w:lineRule="auto"/>
        <w:jc w:val="center"/>
        <w:rPr>
          <w:b w:val="true"/>
          <w:color w:val="#000000"/>
          <w:sz w:val="24"/>
          <w:lang w:val="en-US"/>
          <w:spacing w:val="0"/>
          <w:w w:val="100"/>
          <w:strike w:val="false"/>
          <w:u w:val="singl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u w:val="single"/>
          <w:vertAlign w:val="baseline"/>
          <w:rFonts w:ascii="Arial" w:hAnsi="Arial"/>
        </w:rPr>
        <w:t xml:space="preserve">CASE SUMMARY</w:t>
      </w:r>
    </w:p>
    <w:p>
      <w:pPr>
        <w:ind w:right="72" w:left="144" w:firstLine="0"/>
        <w:spacing w:before="288" w:after="0" w:line="240" w:lineRule="auto"/>
        <w:jc w:val="left"/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Arial" w:hAnsi="Arial"/>
        </w:rPr>
        <w:t xml:space="preserve">Claimant asserted the following causes of action: 1) breach of fiduciary duty; 2) violation of State "Blue Sky" Laws; 3) unjust enrichment; 4) negligent misrepresentation; 5) fraud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and intentional misrepresentation; and, 6) negligence. The causes of action relate to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Claimant's investments in, including but not limited to, Merrill Lynch's Focus 20 Fund,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Internet Capital stock and Tyco stock.</w:t>
      </w:r>
    </w:p>
    <w:p>
      <w:pPr>
        <w:ind w:right="792" w:left="144" w:firstLine="0"/>
        <w:spacing w:before="288" w:after="0" w:line="240" w:lineRule="auto"/>
        <w:jc w:val="left"/>
        <w:rPr>
          <w:b w:val="true"/>
          <w:color w:val="#000000"/>
          <w:sz w:val="24"/>
          <w:lang w:val="en-US"/>
          <w:spacing w:val="-16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16"/>
          <w:w w:val="100"/>
          <w:strike w:val="false"/>
          <w:vertAlign w:val="baseline"/>
          <w:rFonts w:ascii="Arial" w:hAnsi="Arial"/>
        </w:rPr>
        <w:t xml:space="preserve">Unless specifically admitted in their Answers, Respondents ML, Blodget, Campbell, </w:t>
      </w: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Arial" w:hAnsi="Arial"/>
        </w:rPr>
        <w:t xml:space="preserve">Genereaux and Young denied the allegations made in the Statement of Claim, as </w:t>
      </w:r>
      <w:r>
        <w:rPr>
          <w:b w:val="true"/>
          <w:color w:val="#000000"/>
          <w:sz w:val="24"/>
          <w:lang w:val="en-US"/>
          <w:spacing w:val="-11"/>
          <w:w w:val="100"/>
          <w:strike w:val="false"/>
          <w:vertAlign w:val="baseline"/>
          <w:rFonts w:ascii="Arial" w:hAnsi="Arial"/>
        </w:rPr>
        <w:t xml:space="preserve">amended, and asserted various affirmative defenses.</w:t>
      </w:r>
    </w:p>
    <w:p>
      <w:pPr>
        <w:ind w:right="0" w:left="3600" w:firstLine="0"/>
        <w:spacing w:before="288" w:after="0" w:line="240" w:lineRule="auto"/>
        <w:jc w:val="left"/>
        <w:rPr>
          <w:b w:val="true"/>
          <w:color w:val="#000000"/>
          <w:sz w:val="23"/>
          <w:lang w:val="en-US"/>
          <w:spacing w:val="0"/>
          <w:w w:val="100"/>
          <w:strike w:val="false"/>
          <w:u w:val="single"/>
          <w:vertAlign w:val="baseline"/>
          <w:rFonts w:ascii="Arial" w:hAnsi="Arial"/>
        </w:rPr>
      </w:pPr>
      <w:r>
        <w:rPr>
          <w:b w:val="true"/>
          <w:color w:val="#000000"/>
          <w:sz w:val="23"/>
          <w:lang w:val="en-US"/>
          <w:spacing w:val="0"/>
          <w:w w:val="100"/>
          <w:strike w:val="false"/>
          <w:u w:val="single"/>
          <w:vertAlign w:val="baseline"/>
          <w:rFonts w:ascii="Arial" w:hAnsi="Arial"/>
        </w:rPr>
        <w:t xml:space="preserve">RELIEF REQUESTED</w:t>
      </w:r>
    </w:p>
    <w:p>
      <w:pPr>
        <w:ind w:right="144" w:left="144" w:firstLine="0"/>
        <w:spacing w:before="288" w:after="0" w:line="240" w:lineRule="auto"/>
        <w:jc w:val="left"/>
        <w:rPr>
          <w:b w:val="true"/>
          <w:color w:val="#000000"/>
          <w:sz w:val="24"/>
          <w:lang w:val="en-US"/>
          <w:spacing w:val="-3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Claimant </w:t>
      </w:r>
      <w:r>
        <w:rPr>
          <w:b w:val="true"/>
          <w:color w:val="#000000"/>
          <w:sz w:val="23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requested: 1) compensatory damages in the amount of $1,000,000.00; 2) loss </w:t>
      </w:r>
      <w:r>
        <w:rPr>
          <w:b w:val="true"/>
          <w:color w:val="#000000"/>
          <w:sz w:val="23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of benefits; 3) pre and post judgment interest; 4) unspecified damages associated with the distribution from his retirement </w:t>
      </w: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account; 5) disgorgement; 6) attorneys' fees; 7) </w:t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costs; and 8) punitive damages in the amount of $3,000,000.00.</w:t>
      </w:r>
    </w:p>
    <w:p>
      <w:pPr>
        <w:ind w:right="0" w:left="144" w:firstLine="0"/>
        <w:spacing w:before="252" w:after="0" w:line="240" w:lineRule="auto"/>
        <w:jc w:val="left"/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Respondent ML requested: 1) that all claims be denied; 2) costs; and, 3) such other</w:t>
      </w:r>
    </w:p>
    <w:p>
      <w:pPr>
        <w:sectPr>
          <w:pgSz w:w="12240" w:h="15840" w:orient="portrait"/>
          <w:type w:val="nextPage"/>
          <w:textDirection w:val="lrTb"/>
          <w:pgMar w:bottom="310" w:top="480" w:right="1300" w:left="1360" w:header="720" w:footer="720"/>
          <w:titlePg w:val="false"/>
        </w:sectPr>
      </w:pPr>
    </w:p>
    <w:p>
      <w:pPr>
        <w:ind w:right="6336" w:left="72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NASD Dispute Resolution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Arbitration No. 04-03102 </w:t>
      </w:r>
      <w:r>
        <w:rPr>
          <w:b w:val="true"/>
          <w:color w:val="#000000"/>
          <w:sz w:val="22"/>
          <w:lang w:val="en-US"/>
          <w:spacing w:val="-5"/>
          <w:w w:val="100"/>
          <w:strike w:val="false"/>
          <w:u w:val="single"/>
          <w:vertAlign w:val="baseline"/>
          <w:rFonts w:ascii="Tahoma" w:hAnsi="Tahoma"/>
        </w:rPr>
        <w:t xml:space="preserve">Amended Award Page 3 of</w:t>
      </w:r>
      <w:r>
        <w:rPr>
          <w:b w:val="true"/>
          <w:color w:val="#000000"/>
          <w:sz w:val="24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 7</w:t>
      </w:r>
    </w:p>
    <w:p>
      <w:pPr>
        <w:ind w:right="0" w:left="72" w:firstLine="0"/>
        <w:spacing w:before="180" w:after="0" w:line="240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relief as deemed just.</w:t>
      </w:r>
    </w:p>
    <w:p>
      <w:pPr>
        <w:ind w:right="576" w:left="72" w:firstLine="0"/>
        <w:spacing w:before="252" w:after="0" w:line="240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Respondent Blodget requested: 1) that all claims be dismissed with prejudice; 2) </w:t>
      </w:r>
      <w:r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Arial" w:hAnsi="Arial"/>
        </w:rPr>
        <w:t xml:space="preserve">attorneys' fees; 3) costs; and, 4) expungement of all references to the Statement of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Claim from his NASD Central Registration Depository ("CRD") record.</w:t>
      </w:r>
    </w:p>
    <w:p>
      <w:pPr>
        <w:ind w:right="432" w:left="72" w:firstLine="0"/>
        <w:spacing w:before="324" w:after="0" w:line="240" w:lineRule="auto"/>
        <w:jc w:val="left"/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Arial" w:hAnsi="Arial"/>
        </w:rPr>
        <w:t xml:space="preserve">Respondent Young requested: 1) that all claims be dismissed; 2) expungement of all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references to this matter from his CRD record; 3) costs and expenses; 4) attorneys' fees; and, 5) for such other relief as deemed just.</w:t>
      </w:r>
    </w:p>
    <w:p>
      <w:pPr>
        <w:ind w:right="432" w:left="72" w:firstLine="0"/>
        <w:spacing w:before="324" w:after="0" w:line="240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Respondents Campbell and Genereux requested: 1) that the Amended Statement of </w:t>
      </w:r>
      <w:r>
        <w:rPr>
          <w:b w:val="true"/>
          <w:color w:val="#000000"/>
          <w:sz w:val="24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Claim be dismissed with </w:t>
      </w:r>
      <w:r>
        <w:rPr>
          <w:b w:val="true"/>
          <w:color w:val="#000000"/>
          <w:sz w:val="23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prejudice; 2) costs; and 3) attorneys' fees.</w:t>
      </w:r>
    </w:p>
    <w:p>
      <w:pPr>
        <w:ind w:right="0" w:left="0" w:firstLine="0"/>
        <w:spacing w:before="288" w:after="0" w:line="240" w:lineRule="auto"/>
        <w:jc w:val="center"/>
        <w:rPr>
          <w:b w:val="true"/>
          <w:color w:val="#000000"/>
          <w:sz w:val="24"/>
          <w:lang w:val="en-US"/>
          <w:spacing w:val="0"/>
          <w:w w:val="100"/>
          <w:strike w:val="false"/>
          <w:u w:val="singl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u w:val="single"/>
          <w:vertAlign w:val="baseline"/>
          <w:rFonts w:ascii="Arial" w:hAnsi="Arial"/>
        </w:rPr>
        <w:t xml:space="preserve">OTHER ISSUES CONSIDERED AND DECIDED</w:t>
      </w:r>
    </w:p>
    <w:p>
      <w:pPr>
        <w:ind w:right="72" w:left="72" w:firstLine="0"/>
        <w:spacing w:before="288" w:after="0" w:line="240" w:lineRule="auto"/>
        <w:jc w:val="left"/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Arial" w:hAnsi="Arial"/>
        </w:rPr>
        <w:t xml:space="preserve">Respondents Baldauf, Ghachem and McCabe did not file with NASD Dispute Resolution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properly executed Uniform Submission Agreements but are required to submit to </w:t>
      </w:r>
      <w:r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arbitration pursuant to the NASD Code of Arbitration Procedure ("the Code"), and are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bound by the determination of the Panel on all issues submitted.</w:t>
      </w:r>
    </w:p>
    <w:p>
      <w:pPr>
        <w:ind w:right="72" w:left="72" w:firstLine="0"/>
        <w:spacing w:before="288" w:after="0" w:line="240" w:lineRule="auto"/>
        <w:jc w:val="both"/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Arial" w:hAnsi="Arial"/>
        </w:rPr>
        <w:t xml:space="preserve">Respondents ML did not file with NASD Dispute Resolution a properly executed Uniform Submission Agreement but is required to submit to arbitration pursuant to the Code and,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having answered the claim, appeared and testified, is bound by the determination of the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Panel on all issues submitted.</w:t>
      </w:r>
    </w:p>
    <w:p>
      <w:pPr>
        <w:ind w:right="288" w:left="72" w:firstLine="0"/>
        <w:spacing w:before="288" w:after="0" w:line="240" w:lineRule="auto"/>
        <w:jc w:val="both"/>
        <w:rPr>
          <w:b w:val="true"/>
          <w:color w:val="#000000"/>
          <w:sz w:val="24"/>
          <w:lang w:val="en-US"/>
          <w:spacing w:val="-5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Claimant </w:t>
      </w:r>
      <w:r>
        <w:rPr>
          <w:b w:val="true"/>
          <w:color w:val="#000000"/>
          <w:sz w:val="23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asserted claims against non</w:t>
      </w:r>
      <w:r>
        <w:rPr>
          <w:b w:val="true"/>
          <w:color w:val="#000000"/>
          <w:sz w:val="6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-</w:t>
      </w:r>
      <w:r>
        <w:rPr>
          <w:b w:val="true"/>
          <w:color w:val="#000000"/>
          <w:sz w:val="23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member Fund Asset Management, Inc. whose </w:t>
      </w:r>
      <w:r>
        <w:rPr>
          <w:b w:val="true"/>
          <w:color w:val="#000000"/>
          <w:sz w:val="23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submission to the </w:t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jurisdiction of NASD Dispute Resolution was voluntary. The non</w:t>
        <w:softHyphen/>
      </w: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Arial" w:hAnsi="Arial"/>
        </w:rPr>
        <w:t xml:space="preserve">member declined to voluntarily submit to the jurisdiction of NASD Dispute Resolution.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Therefore, the Panel made no determination with respect to Fund Asset Management.</w:t>
      </w:r>
    </w:p>
    <w:p>
      <w:pPr>
        <w:ind w:right="360" w:left="72" w:firstLine="0"/>
        <w:spacing w:before="288" w:after="0" w:line="240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On or about December 8, 2004, Claimant dismissed his claim, with prejudice, against </w:t>
      </w:r>
      <w:r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the following Respondents: Raj, Campbell, Genereux, Baldauf and McCabe.</w:t>
      </w:r>
    </w:p>
    <w:p>
      <w:pPr>
        <w:ind w:right="576" w:left="72" w:firstLine="0"/>
        <w:spacing w:before="288" w:after="0" w:line="240" w:lineRule="auto"/>
        <w:jc w:val="left"/>
        <w:rPr>
          <w:b w:val="true"/>
          <w:color w:val="#000000"/>
          <w:sz w:val="24"/>
          <w:lang w:val="en-US"/>
          <w:spacing w:val="-11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11"/>
          <w:w w:val="100"/>
          <w:strike w:val="false"/>
          <w:vertAlign w:val="baseline"/>
          <w:rFonts w:ascii="Arial" w:hAnsi="Arial"/>
        </w:rPr>
        <w:t xml:space="preserve">On or about December 28, 2004, Claimant dismissed his claim against Respondent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Ghachem, without prejudice.</w:t>
      </w:r>
    </w:p>
    <w:p>
      <w:pPr>
        <w:ind w:right="432" w:left="72" w:firstLine="0"/>
        <w:spacing w:before="288" w:after="0" w:line="240" w:lineRule="auto"/>
        <w:jc w:val="left"/>
        <w:rPr>
          <w:b w:val="true"/>
          <w:color w:val="#000000"/>
          <w:sz w:val="24"/>
          <w:lang w:val="en-US"/>
          <w:spacing w:val="-11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11"/>
          <w:w w:val="100"/>
          <w:strike w:val="false"/>
          <w:vertAlign w:val="baseline"/>
          <w:rFonts w:ascii="Arial" w:hAnsi="Arial"/>
        </w:rPr>
        <w:t xml:space="preserve">On or about April 8, 2005, the Panel issued an order denying the Motions to Dismiss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submitted by Respondents Blodget and Young.</w:t>
      </w:r>
    </w:p>
    <w:p>
      <w:pPr>
        <w:ind w:right="144" w:left="72" w:firstLine="0"/>
        <w:spacing w:before="288" w:after="0" w:line="240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During the evidentiary hearing and at the close of Claimant's case, Respondents ML, </w:t>
      </w:r>
      <w:r>
        <w:rPr>
          <w:b w:val="true"/>
          <w:color w:val="#000000"/>
          <w:sz w:val="24"/>
          <w:lang w:val="en-US"/>
          <w:spacing w:val="-11"/>
          <w:w w:val="100"/>
          <w:strike w:val="false"/>
          <w:vertAlign w:val="baseline"/>
          <w:rFonts w:ascii="Arial" w:hAnsi="Arial"/>
        </w:rPr>
        <w:t xml:space="preserve">Blodget and Young made an ore tenus Motion to Dismiss the claim. The Panel granted </w:t>
      </w:r>
      <w:r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Arial" w:hAnsi="Arial"/>
        </w:rPr>
        <w:t xml:space="preserve">Respondents' Motion to Dismiss Claimant's claim with prejudice.</w:t>
      </w:r>
    </w:p>
    <w:p>
      <w:pPr>
        <w:ind w:right="648" w:left="72" w:firstLine="0"/>
        <w:spacing w:before="288" w:after="0" w:line="240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During the evidentiary hearing, Respondent Raj reasserted his request for </w:t>
      </w:r>
      <w:r>
        <w:rPr>
          <w:b w:val="true"/>
          <w:color w:val="#000000"/>
          <w:sz w:val="23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expungement of this matter from his CRD records in a motion dated May 20, 2007.</w:t>
      </w:r>
    </w:p>
    <w:p>
      <w:pPr>
        <w:ind w:right="864" w:left="72" w:firstLine="0"/>
        <w:spacing w:before="252" w:after="0" w:line="240" w:lineRule="auto"/>
        <w:jc w:val="left"/>
        <w:rPr>
          <w:b w:val="true"/>
          <w:color w:val="#000000"/>
          <w:sz w:val="23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3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During the evidentiary hearing, Respondent Young reasserted his request for </w:t>
      </w:r>
      <w:r>
        <w:rPr>
          <w:b w:val="true"/>
          <w:color w:val="#000000"/>
          <w:sz w:val="23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expungement of this matter from his CRD records in a letter dated May 23, 2007.</w:t>
      </w:r>
    </w:p>
    <w:sectPr>
      <w:pgSz w:w="12240" w:h="15840" w:orient="portrait"/>
      <w:type w:val="nextPage"/>
      <w:textDirection w:val="lrTb"/>
      <w:pgMar w:bottom="570" w:top="480" w:right="1300" w:left="136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