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Untitled</w:t>
      </w:r>
    </w:p>
    <w:p>
      <w:r>
        <w:t>---</w:t>
      </w:r>
    </w:p>
    <w:p>
      <w:r>
        <w:t>doc_id: configuration-guide</w:t>
      </w:r>
    </w:p>
    <w:p>
      <w:r>
        <w:t>title: Configuration Guide</w:t>
      </w:r>
    </w:p>
    <w:p>
      <w:r>
        <w:t>version: 1.0</w:t>
      </w:r>
    </w:p>
    <w:p>
      <w:r>
        <w:t>module: configuration</w:t>
      </w:r>
    </w:p>
    <w:p>
      <w:r>
        <w:t>last_updated: 2026-09-06</w:t>
      </w:r>
    </w:p>
    <w:p>
      <w:r>
        <w:t>---</w:t>
      </w:r>
    </w:p>
    <w:p>
      <w:pPr>
        <w:pStyle w:val="Heading2"/>
      </w:pPr>
      <w:r>
        <w:t>Environment Variables (#environment-variables)</w:t>
      </w:r>
    </w:p>
    <w:p>
      <w:r>
        <w:t>The platform is configured through environment variables. Key variables:</w:t>
      </w:r>
    </w:p>
    <w:p>
      <w:r>
        <w:rPr>
          <w:i/>
        </w:rPr>
        <w:t>Tip: Never commit secrets to version control. Use a secret manager in production.</w:t>
      </w:r>
    </w:p>
    <w:p>
      <w:pPr>
        <w:pStyle w:val="Heading2"/>
      </w:pPr>
      <w:r>
        <w:t>Feature Flags (#feature-flags)</w:t>
      </w:r>
    </w:p>
    <w:p>
      <w:r>
        <w:t>Flags are evaluated server-side. Flags are boolean by default; some flags accept a percentage rollout or a targeting rule.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