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</w:t>
      </w:r>
    </w:p>
    <w:p>
      <w:r>
        <w:t>---</w:t>
      </w:r>
    </w:p>
    <w:p>
      <w:r>
        <w:t>doc_id: oauth-guide</w:t>
      </w:r>
    </w:p>
    <w:p>
      <w:r>
        <w:t>title: OAuth 2.0 Integration Guide</w:t>
      </w:r>
    </w:p>
    <w:p>
      <w:r>
        <w:t>version: 1.0</w:t>
      </w:r>
    </w:p>
    <w:p>
      <w:r>
        <w:t>module: oauth</w:t>
      </w:r>
    </w:p>
    <w:p>
      <w:r>
        <w:t>last_updated: 2026-09-06</w:t>
      </w:r>
    </w:p>
    <w:p>
      <w:r>
        <w:t>---</w:t>
      </w:r>
    </w:p>
    <w:p>
      <w:pPr>
        <w:pStyle w:val="Heading2"/>
      </w:pPr>
      <w:r>
        <w:t>Overview (#overview)</w:t>
      </w:r>
    </w:p>
    <w:p>
      <w:r>
        <w:t>The AskMyDocs platform implements OAuth 2.0 to let third-party applications access customer resources on the user's behalf.</w:t>
      </w:r>
    </w:p>
    <w:p>
      <w:r>
        <w:t>The authorization server is the Identity Service. It supports the Authorization Code grant flow with Proof Key for Code Exchange (PKCE), the Client Credentials grant, and the Refresh Token grant.</w:t>
      </w:r>
    </w:p>
    <w:p>
      <w:pPr>
        <w:pStyle w:val="Heading2"/>
      </w:pPr>
      <w:r>
        <w:t>Supported Flows (#supported-flows)</w:t>
      </w:r>
    </w:p>
    <w:p>
      <w:r>
        <w:t>For browser-based applications, the Authorization Code flow with PKCE is recommended. The implicit flow is not supported.</w:t>
      </w:r>
    </w:p>
    <w:p>
      <w:pPr>
        <w:pStyle w:val="Heading2"/>
      </w:pPr>
      <w:r>
        <w:t>Scopes (#scopes)</w:t>
      </w:r>
    </w:p>
    <w:p>
      <w:r>
        <w:t>Scopes are space-delimited strings. The platform defines the following standard scopes:</w:t>
      </w:r>
    </w:p>
    <w:p>
      <w:r>
        <w:t>Scopes are enforced by the API gateway. A token without the documents:write scope receives 403 for write operations.</w:t>
      </w:r>
    </w:p>
    <w:p>
      <w:pPr>
        <w:pStyle w:val="Heading2"/>
      </w:pPr>
      <w:r>
        <w:t>Token Claims (#token-claims)</w:t>
      </w:r>
    </w:p>
    <w:p>
      <w:r>
        <w:t>Access tokens are JWTs signed with RS256. Standard claims: iss, sub, aud, exp, iat, scope, and permissions.</w:t>
      </w:r>
    </w:p>
    <w:p>
      <w:r>
        <w:t>The permissions claim is an array of permission strings such as documents:read. Services must validate the signature using the Identity Service JWKS endpoint before trusting any claim.</w:t>
      </w:r>
    </w:p>
    <w:p>
      <w:pPr>
        <w:pStyle w:val="Heading2"/>
      </w:pPr>
      <w:r>
        <w:t>Discovery (#discovery)</w:t>
      </w:r>
    </w:p>
    <w:p>
      <w:r>
        <w:t>OAuth configuration is published at the well-known endpoint:</w:t>
      </w:r>
    </w:p>
    <w:p>
      <w:r>
        <w:rPr>
          <w:rFonts w:ascii="Consolas" w:hAnsi="Consolas"/>
          <w:sz w:val="18"/>
        </w:rPr>
        <w:t>https://identity.askmydocs.example/.well-known/openid-configuration</w:t>
      </w:r>
    </w:p>
    <w:p>
      <w:r>
        <w:t>The discovery document lists authorization, token, revocation, and JWKS endpoints. Clients must fetch this document at startup and honor the expiration hints.</w:t>
      </w:r>
    </w:p>
    <w:p>
      <w:pPr>
        <w:pStyle w:val="Heading2"/>
      </w:pPr>
      <w:r>
        <w:t>Refresh Token Rotation (#refresh-token-rotation)</w:t>
      </w:r>
    </w:p>
    <w:p>
      <w:r>
        <w:t>Refresh tokens expire after 30 days. AskMyDocs rotates refresh tokens on every use: the previous refresh token is invalidated immediately.</w:t>
      </w:r>
    </w:p>
    <w:p>
      <w:r>
        <w:t>If a rotated refresh token is used again (token replay), the entire session is revoked and the user is forced to re-authenticate. Clients must therefore persist each new refresh token before using the access token it returns.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