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</w:t>
      </w:r>
    </w:p>
    <w:p>
      <w:r>
        <w:t>---</w:t>
      </w:r>
    </w:p>
    <w:p>
      <w:r>
        <w:t>doc_id: monitoring-guide</w:t>
      </w:r>
    </w:p>
    <w:p>
      <w:r>
        <w:t>title: Monitoring Guide</w:t>
      </w:r>
    </w:p>
    <w:p>
      <w:r>
        <w:t>version: 1.0</w:t>
      </w:r>
    </w:p>
    <w:p>
      <w:r>
        <w:t>module: monitoring</w:t>
      </w:r>
    </w:p>
    <w:p>
      <w:r>
        <w:t>last_updated: 2026-09-12</w:t>
      </w:r>
    </w:p>
    <w:p>
      <w:r>
        <w:t>---</w:t>
      </w:r>
    </w:p>
    <w:p>
      <w:pPr>
        <w:pStyle w:val="Heading2"/>
      </w:pPr>
      <w:r>
        <w:t>Metrics (#metrics)</w:t>
      </w:r>
    </w:p>
    <w:p>
      <w:r>
        <w:t>The platform exposes Prometheus metrics at /metrics.</w:t>
      </w:r>
    </w:p>
    <w:p>
      <w:r>
        <w:rPr>
          <w:i/>
        </w:rPr>
        <w:t>Note: Metrics are retained for 30 days. Alerts should aggregate over 5-minute windows.</w:t>
      </w:r>
    </w:p>
    <w:p>
      <w:pPr>
        <w:pStyle w:val="Heading2"/>
      </w:pPr>
      <w:r>
        <w:t>Alerts (#alerts)</w:t>
      </w:r>
    </w:p>
    <w:p>
      <w:r>
        <w:t>Recommended alerting thresholds: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