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27071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710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three aggregation scopes, the per-axis expression they fit, and the variance-decomposition diagnostic; the conditioning claim rests on that diagnostic and not on the comparison between stages, for the reasons given in Sec. III.A. (c) The three conditions a prediction target satisfies to be dispatched, which is how the five refusal codes group, with the reduced-variable scaling result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