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three aggregation scopes, the per-axis expression they fit, and the variance-decomposition diagnostic; the conditioning claim rests on that diagnostic and not on the comparison between stages, for the reasons given in Sec. III.A. (c) The three conditions a prediction target satisfies to be dispatched, which is how the five refusal codes group, with the reduced-variable scaling result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