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Cs/>
          <w:b/>
        </w:rPr>
        <w:t xml:space="preserve">Response to Referees</w:t>
      </w:r>
    </w:p>
    <w:p>
      <w:pPr>
        <w:pStyle w:val="BodyText"/>
      </w:pPr>
      <w:r>
        <w:t xml:space="preserve">Manuscript HT10016/Poddar,</w:t>
      </w:r>
      <w:r>
        <w:t xml:space="preserve"> </w:t>
      </w:r>
      <w:r>
        <w:rPr>
          <w:iCs/>
          <w:i/>
        </w:rPr>
        <w:t xml:space="preserve">Substructure-Conditional Critical Current Density Prediction from Heterogeneous Superconductor Literature</w:t>
      </w:r>
    </w:p>
    <w:p>
      <w:pPr>
        <w:pStyle w:val="BodyText"/>
      </w:pPr>
      <w:r>
        <w:t xml:space="preserve">Dear Editors,</w:t>
      </w:r>
    </w:p>
    <w:p>
      <w:pPr>
        <w:pStyle w:val="BodyText"/>
      </w:pPr>
      <w:r>
        <w:t xml:space="preserve">We thank both referees for their close reading of the physics. Two of Referee A’s</w:t>
      </w:r>
      <w:r>
        <w:t xml:space="preserve"> </w:t>
      </w:r>
      <w:r>
        <w:t xml:space="preserve">observations changed the paper itself, not only its wording. The first is that the upper</w:t>
      </w:r>
      <w:r>
        <w:t xml:space="preserve"> </w:t>
      </w:r>
      <w:r>
        <w:t xml:space="preserve">critical field depends on temperature, so the separation of the temperature and field terms</w:t>
      </w:r>
      <w:r>
        <w:t xml:space="preserve"> </w:t>
      </w:r>
      <w:r>
        <w:t xml:space="preserve">in our expression is not guaranteed. The second is that the predicted field dependence in</w:t>
      </w:r>
      <w:r>
        <w:t xml:space="preserve"> </w:t>
      </w:r>
      <w:r>
        <w:t xml:space="preserve">Figure 5 looked too weak. We took both as reason to examine the critical-field scale rather</w:t>
      </w:r>
      <w:r>
        <w:t xml:space="preserve"> </w:t>
      </w:r>
      <w:r>
        <w:t xml:space="preserve">than to defend the figure. That examination found defects in the field axis, which we now</w:t>
      </w:r>
      <w:r>
        <w:t xml:space="preserve"> </w:t>
      </w:r>
      <w:r>
        <w:t xml:space="preserve">report in full.</w:t>
      </w:r>
    </w:p>
    <w:p>
      <w:pPr>
        <w:pStyle w:val="BodyText"/>
      </w:pPr>
      <w:r>
        <w:t xml:space="preserve">The central results survive and are stated more precisely. Universal reduced-variable scaling does not clear our 30% threshold. It reduces the</w:t>
      </w:r>
      <w:r>
        <w:t xml:space="preserve"> </w:t>
      </w:r>
      <w:r>
        <w:t xml:space="preserve">within-bin scatter by 13.0% on the standard-deviation scale, replacing a previously reported</w:t>
      </w:r>
      <w:r>
        <w:t xml:space="preserve"> </w:t>
      </w:r>
      <w:r>
        <w:t xml:space="preserve">14.1% whose numerator and denominator had been computed on different populations. That</w:t>
      </w:r>
      <w:r>
        <w:t xml:space="preserve"> </w:t>
      </w:r>
      <w:r>
        <w:t xml:space="preserve">result is insensitive to a 35% perturbation of the estimated critical fields. The conditioning claim now rests on the variance-decomposition diagnostic,</w:t>
      </w:r>
      <w:r>
        <w:t xml:space="preserve"> </w:t>
      </w:r>
      <w:r>
        <w:t xml:space="preserve">which uses the critical-current anchor and involves neither a fitted exponent nor a critical</w:t>
      </w:r>
      <w:r>
        <w:t xml:space="preserve"> </w:t>
      </w:r>
      <w:r>
        <w:t xml:space="preserve">field scale, rather than on the error ratio Referee A questioned. The applicability claim is</w:t>
      </w:r>
      <w:r>
        <w:t xml:space="preserve"> </w:t>
      </w:r>
      <w:r>
        <w:t xml:space="preserve">narrowed, the field-axis results are retained but labelled with the scale that produced</w:t>
      </w:r>
      <w:r>
        <w:t xml:space="preserve"> </w:t>
      </w:r>
      <w:r>
        <w:t xml:space="preserve">them, and the output of the framework is restated as family-scope envelopes together with a</w:t>
      </w:r>
      <w:r>
        <w:t xml:space="preserve"> </w:t>
      </w:r>
      <w:r>
        <w:t xml:space="preserve">refusal decision. The manuscript is longer because each of these points needed its evidence set out, and it</w:t>
      </w:r>
      <w:r>
        <w:t xml:space="preserve"> </w:t>
      </w:r>
      <w:r>
        <w:t xml:space="preserve">now carries eleven displayed equations, four tables, and a numbered inference procedure.</w:t>
      </w:r>
    </w:p>
    <w:p>
      <w:pPr>
        <w:pStyle w:val="BodyText"/>
      </w:pPr>
      <w:r>
        <w:t xml:space="preserve">We have followed one rule throughout. Where a criticism bears on the diagnostic itself,</w:t>
      </w:r>
      <w:r>
        <w:t xml:space="preserve"> </w:t>
      </w:r>
      <w:r>
        <w:t xml:space="preserve">which is the paper’s contribution, we tested it and report what we found. Elsewhere we have</w:t>
      </w:r>
      <w:r>
        <w:t xml:space="preserve"> </w:t>
      </w:r>
      <w:r>
        <w:t xml:space="preserve">conceded rather than argued, including at several points the referees did not raise and we</w:t>
      </w:r>
      <w:r>
        <w:t xml:space="preserve"> </w:t>
      </w:r>
      <w:r>
        <w:t xml:space="preserve">found on our own. The paper is narrower as a result.</w:t>
      </w:r>
    </w:p>
    <w:p>
      <w:pPr>
        <w:pStyle w:val="BodyText"/>
      </w:pPr>
      <w:r>
        <w:t xml:space="preserve">We answer each point below.</w:t>
      </w:r>
    </w:p>
    <w:p>
      <w:pPr>
        <w:pStyle w:val="BodyText"/>
      </w:pPr>
      <w:r>
        <w:rPr>
          <w:bCs/>
          <w:b/>
        </w:rPr>
        <w:t xml:space="preserve">Referee A</w:t>
      </w:r>
    </w:p>
    <w:p>
      <w:pPr>
        <w:pStyle w:val="BodyText"/>
      </w:pPr>
      <w:r>
        <w:rPr>
          <w:iCs/>
          <w:i/>
        </w:rPr>
        <w:t xml:space="preserve">It would be much easier for a referee to assess your paper if at least some examples from</w:t>
      </w:r>
      <w:r>
        <w:rPr>
          <w:iCs/>
          <w:i/>
        </w:rPr>
        <w:t xml:space="preserve"> </w:t>
      </w:r>
      <w:r>
        <w:rPr>
          <w:iCs/>
          <w:i/>
        </w:rPr>
        <w:t xml:space="preserve">this dataset were provided.</w:t>
      </w:r>
    </w:p>
    <w:p>
      <w:pPr>
        <w:pStyle w:val="BodyText"/>
      </w:pPr>
      <w:r>
        <w:t xml:space="preserve">We agree, and we have done this in the revision rather than deferring it to publication. The data and the analysis code are now public at https://github.com/prachetpoddar/HT10016-critical-current-prediction, so the referee can read the tables and rerun the scripts while assessing the paper. The Data Availability statement now specifies a deposit containing curve-level</w:t>
      </w:r>
      <w:r>
        <w:t xml:space="preserve"> </w:t>
      </w:r>
      <w:r>
        <w:t xml:space="preserve">metadata, fitted exponents, anchor values with their provenance tier, substructure and</w:t>
      </w:r>
      <w:r>
        <w:t xml:space="preserve"> </w:t>
      </w:r>
      <w:r>
        <w:t xml:space="preserve">sample-form labels, validation splits, refusal flags, and the candidate prediction table.</w:t>
      </w:r>
      <w:r>
        <w:t xml:space="preserve"> </w:t>
      </w:r>
      <w:r>
        <w:t xml:space="preserve">Critical-field records additionally carry the identifier and the type of the source figure</w:t>
      </w:r>
      <w:r>
        <w:t xml:space="preserve"> </w:t>
      </w:r>
      <w:r>
        <w:t xml:space="preserve">from which each value was read, which is what makes the provenance problem described below</w:t>
      </w:r>
      <w:r>
        <w:t xml:space="preserve"> </w:t>
      </w:r>
      <w:r>
        <w:t xml:space="preserve">independently checkable rather than something the reader must take on trust. Section 13 of</w:t>
      </w:r>
      <w:r>
        <w:t xml:space="preserve"> </w:t>
      </w:r>
      <w:r>
        <w:t xml:space="preserve">the Supplemental Material reports that audit with its counts, and Section 11 with Table S1</w:t>
      </w:r>
      <w:r>
        <w:t xml:space="preserve"> </w:t>
      </w:r>
      <w:r>
        <w:t xml:space="preserve">links every fitted exponent that enters the analysis to an auditable literature record. The</w:t>
      </w:r>
      <w:r>
        <w:t xml:space="preserve"> </w:t>
      </w:r>
      <w:r>
        <w:t xml:space="preserve">corpus enumeration behind the field-axis discussion is deposited as a per-paper table</w:t>
      </w:r>
      <w:r>
        <w:t xml:space="preserve"> </w:t>
      </w:r>
      <w:r>
        <w:t xml:space="preserve">covering the archived corpus.</w:t>
      </w:r>
    </w:p>
    <w:p>
      <w:pPr>
        <w:pStyle w:val="BodyText"/>
      </w:pPr>
      <w:r>
        <w:t xml:space="preserve">We have also brought examples into the Supplemental Material itself, so that the referee can</w:t>
      </w:r>
      <w:r>
        <w:t xml:space="preserve"> </w:t>
      </w:r>
      <w:r>
        <w:t xml:space="preserve">see the data without downloading the deposit. New Section 15 reproduces rows verbatim from</w:t>
      </w:r>
      <w:r>
        <w:t xml:space="preserve"> </w:t>
      </w:r>
      <w:r>
        <w:t xml:space="preserve">three files: Table S4 gives curve-level anchor records, one row per physical sample per</w:t>
      </w:r>
      <w:r>
        <w:t xml:space="preserve"> </w:t>
      </w:r>
      <w:r>
        <w:t xml:space="preserve">paper, including five bulk specimens of the same compound from one paper that differ only in</w:t>
      </w:r>
      <w:r>
        <w:t xml:space="preserve"> </w:t>
      </w:r>
      <w:r>
        <w:t xml:space="preserve">processing atmosphere and span 0.26 dex; Table S5 gives fitted field-axis exponents alongside</w:t>
      </w:r>
      <w:r>
        <w:t xml:space="preserve"> </w:t>
      </w:r>
      <w:r>
        <w:t xml:space="preserve">both critical-field values, the resolved one used in the fit and the literature</w:t>
      </w:r>
      <w:r>
        <w:t xml:space="preserve"> </w:t>
      </w:r>
      <w:r>
        <w:t xml:space="preserve">zero-temperature one, with the provenance string for each; and Table S6 gives candidate</w:t>
      </w:r>
      <w:r>
        <w:t xml:space="preserve"> </w:t>
      </w:r>
      <w:r>
        <w:t xml:space="preserve">dispatch rows, including refused rows carrying their reason code and no value. We selected these rows to be useful rather than favourable. Table S5 includes the fits whose</w:t>
      </w:r>
      <w:r>
        <w:t xml:space="preserve"> </w:t>
      </w:r>
      <w:r>
        <w:t xml:space="preserve">resolved scale sits far below the literature value and whose exponents run against the</w:t>
      </w:r>
      <w:r>
        <w:t xml:space="preserve"> </w:t>
      </w:r>
      <w:r>
        <w:t xml:space="preserve">numerical bound, since those are the fits that motivate the qualification in Sec. III.F. They</w:t>
      </w:r>
      <w:r>
        <w:t xml:space="preserve"> </w:t>
      </w:r>
      <w:r>
        <w:t xml:space="preserve">should be visible in the paper rather than only in the deposit.</w:t>
      </w:r>
    </w:p>
    <w:p>
      <w:pPr>
        <w:pStyle w:val="BodyText"/>
      </w:pPr>
      <w:r>
        <w:rPr>
          <w:iCs/>
          <w:i/>
        </w:rPr>
        <w:t xml:space="preserve">It takes some time to become familiar with the vocabulary, which is somewhat specific to</w:t>
      </w:r>
      <w:r>
        <w:rPr>
          <w:iCs/>
          <w:i/>
        </w:rPr>
        <w:t xml:space="preserve"> </w:t>
      </w:r>
      <w:r>
        <w:rPr>
          <w:iCs/>
          <w:i/>
        </w:rPr>
        <w:t xml:space="preserve">statistics. An anchor would simply be a pre-exponential factor in condensed-matter physics.</w:t>
      </w:r>
      <w:r>
        <w:rPr>
          <w:iCs/>
          <w:i/>
        </w:rPr>
        <w:t xml:space="preserve"> </w:t>
      </w:r>
      <w:r>
        <w:rPr>
          <w:iCs/>
          <w:i/>
        </w:rPr>
        <w:t xml:space="preserve">For a wider readership it would be good to explain these statistical terms.</w:t>
      </w:r>
    </w:p>
    <w:p>
      <w:pPr>
        <w:pStyle w:val="BodyText"/>
      </w:pPr>
      <w:r>
        <w:t xml:space="preserve">The referee is right, and the identification of the anchor with the pre-exponential factor</w:t>
      </w:r>
      <w:r>
        <w:t xml:space="preserve"> </w:t>
      </w:r>
      <w:r>
        <w:t xml:space="preserve">is one we should have made. Section II.C now defines the scaling exponent, the</w:t>
      </w:r>
      <w:r>
        <w:t xml:space="preserve"> </w:t>
      </w:r>
      <w:r>
        <w:t xml:space="preserve">two exponents, and the intercept at first use, and states that an exponent is a</w:t>
      </w:r>
      <w:r>
        <w:t xml:space="preserve"> </w:t>
      </w:r>
      <w:r>
        <w:t xml:space="preserve">dimensionless number. Section III opens with two conventions: errors in a fitted exponent</w:t>
      </w:r>
      <w:r>
        <w:t xml:space="preserve"> </w:t>
      </w:r>
      <w:r>
        <w:t xml:space="preserve">are dimensionless, and only errors in the logarithm of the critical current are quoted in</w:t>
      </w:r>
      <w:r>
        <w:t xml:space="preserve"> </w:t>
      </w:r>
      <w:r>
        <w:t xml:space="preserve">dex. Table S2 of the Supplemental Material now gives the condensed-matter reading of every</w:t>
      </w:r>
      <w:r>
        <w:t xml:space="preserve"> </w:t>
      </w:r>
      <w:r>
        <w:t xml:space="preserve">term the referee lists, including the anchor as the pre-exponential factor, the substructure</w:t>
      </w:r>
      <w:r>
        <w:t xml:space="preserve"> </w:t>
      </w:r>
      <w:r>
        <w:t xml:space="preserve">as a material family, the cell as a group of comparable specimens, and dex as a factor of</w:t>
      </w:r>
      <w:r>
        <w:t xml:space="preserve"> </w:t>
      </w:r>
      <w:r>
        <w:t xml:space="preserve">ten. We have signposted that table where the vocabulary first becomes dense.</w:t>
      </w:r>
    </w:p>
    <w:p>
      <w:pPr>
        <w:pStyle w:val="BodyText"/>
      </w:pPr>
      <w:r>
        <w:rPr>
          <w:iCs/>
          <w:i/>
        </w:rPr>
        <w:t xml:space="preserve">The formula, derived from the Ginzburg-Landau model, does not work well over the full</w:t>
      </w:r>
      <w:r>
        <w:rPr>
          <w:iCs/>
          <w:i/>
        </w:rPr>
        <w:t xml:space="preserve"> </w:t>
      </w:r>
      <w:r>
        <w:rPr>
          <w:iCs/>
          <w:i/>
        </w:rPr>
        <w:t xml:space="preserve">ranges of T and H. It is an expansion around Tc and Hc, while the authors use it far from</w:t>
      </w:r>
      <w:r>
        <w:rPr>
          <w:iCs/>
          <w:i/>
        </w:rPr>
        <w:t xml:space="preserve"> </w:t>
      </w:r>
      <w:r>
        <w:rPr>
          <w:iCs/>
          <w:i/>
        </w:rPr>
        <w:t xml:space="preserve">these limits. At low temperatures the observed dependence is exponential or stretched</w:t>
      </w:r>
      <w:r>
        <w:rPr>
          <w:iCs/>
          <w:i/>
        </w:rPr>
        <w:t xml:space="preserve"> </w:t>
      </w:r>
      <w:r>
        <w:rPr>
          <w:iCs/>
          <w:i/>
        </w:rPr>
        <w:t xml:space="preserve">exponential rather than a power law, because thermal activation of vortices adds a term the</w:t>
      </w:r>
      <w:r>
        <w:rPr>
          <w:iCs/>
          <w:i/>
        </w:rPr>
        <w:t xml:space="preserve"> </w:t>
      </w:r>
      <w:r>
        <w:rPr>
          <w:iCs/>
          <w:i/>
        </w:rPr>
        <w:t xml:space="preserve">power function cannot represent. Additionally, Hc2 depends on temperature and separation of</w:t>
      </w:r>
      <w:r>
        <w:rPr>
          <w:iCs/>
          <w:i/>
        </w:rPr>
        <w:t xml:space="preserve"> </w:t>
      </w:r>
      <w:r>
        <w:rPr>
          <w:iCs/>
          <w:i/>
        </w:rPr>
        <w:t xml:space="preserve">the T and H terms is not guaranteed. Pinning regimes change with field and temperature. The</w:t>
      </w:r>
      <w:r>
        <w:rPr>
          <w:iCs/>
          <w:i/>
        </w:rPr>
        <w:t xml:space="preserve"> </w:t>
      </w:r>
      <w:r>
        <w:rPr>
          <w:iCs/>
          <w:i/>
        </w:rPr>
        <w:t xml:space="preserve">model may be more acceptable as an empirical parameterization over a restricted temperature</w:t>
      </w:r>
      <w:r>
        <w:rPr>
          <w:iCs/>
          <w:i/>
        </w:rPr>
        <w:t xml:space="preserve"> </w:t>
      </w:r>
      <w:r>
        <w:rPr>
          <w:iCs/>
          <w:i/>
        </w:rPr>
        <w:t xml:space="preserve">interval.</w:t>
      </w:r>
    </w:p>
    <w:p>
      <w:pPr>
        <w:pStyle w:val="BodyText"/>
      </w:pPr>
      <w:r>
        <w:t xml:space="preserve">We accept this and have restructured the treatment of the expression around it. The referee’s</w:t>
      </w:r>
      <w:r>
        <w:t xml:space="preserve"> </w:t>
      </w:r>
      <w:r>
        <w:t xml:space="preserve">closing sentence is now the paper’s own position: the expression is an empirical</w:t>
      </w:r>
      <w:r>
        <w:t xml:space="preserve"> </w:t>
      </w:r>
      <w:r>
        <w:t xml:space="preserve">parameterization over a restricted interval, which is what the applicability window enforces,</w:t>
      </w:r>
      <w:r>
        <w:t xml:space="preserve"> </w:t>
      </w:r>
      <w:r>
        <w:t xml:space="preserve">and not a description valid to arbitrarily low temperature.</w:t>
      </w:r>
    </w:p>
    <w:p>
      <w:pPr>
        <w:pStyle w:val="BodyText"/>
      </w:pPr>
      <w:r>
        <w:t xml:space="preserve">Section II.C now states plainly that the field term uses a temperature-independent</w:t>
      </w:r>
      <w:r>
        <w:t xml:space="preserve"> </w:t>
      </w:r>
      <w:r>
        <w:t xml:space="preserve">zero-temperature critical field by design, and gives the Werthamer-Helfand-Hohenberg</w:t>
      </w:r>
      <w:r>
        <w:t xml:space="preserve"> </w:t>
      </w:r>
      <w:r>
        <w:t xml:space="preserve">dirty-limit relation as Eq. (4) so that the reader can see exactly what is being discarded.</w:t>
      </w:r>
      <w:r>
        <w:t xml:space="preserve"> </w:t>
      </w:r>
      <w:r>
        <w:t xml:space="preserve">We note that the WHH curve falls by roughly a factor of seven across the reduced-temperature</w:t>
      </w:r>
      <w:r>
        <w:t xml:space="preserve"> </w:t>
      </w:r>
      <w:r>
        <w:t xml:space="preserve">range this corpus spans, so the approximation is not a small one. Table II gives the holdout</w:t>
      </w:r>
      <w:r>
        <w:t xml:space="preserve"> </w:t>
      </w:r>
      <w:r>
        <w:t xml:space="preserve">comparison that motivated the choice, in which the alternative carrying an explicit</w:t>
      </w:r>
      <w:r>
        <w:t xml:space="preserve"> </w:t>
      </w:r>
      <w:r>
        <w:t xml:space="preserve">temperature-dependent critical field reached 0.352 dex against 0.260 dex for the adopted</w:t>
      </w:r>
      <w:r>
        <w:t xml:space="preserve"> </w:t>
      </w:r>
      <w:r>
        <w:t xml:space="preserve">form, and we now report that comparison as an empirical trade rather than a physical</w:t>
      </w:r>
      <w:r>
        <w:t xml:space="preserve"> </w:t>
      </w:r>
      <w:r>
        <w:t xml:space="preserve">justification. For completeness we should note that we motivate the expression from the</w:t>
      </w:r>
      <w:r>
        <w:t xml:space="preserve"> </w:t>
      </w:r>
      <w:r>
        <w:t xml:space="preserve">reduced-scale logic of the Kramer and pinning-force descriptions rather than from Ginzburg-Landau</w:t>
      </w:r>
      <w:r>
        <w:t xml:space="preserve"> </w:t>
      </w:r>
      <w:r>
        <w:t xml:space="preserve">theory, which Section II.C now states with those forms given as Eq. (3). The referee’s objection</w:t>
      </w:r>
      <w:r>
        <w:t xml:space="preserve"> </w:t>
      </w:r>
      <w:r>
        <w:t xml:space="preserve">holds either way, since a reduced-distance power law is an expansion near the critical scale</w:t>
      </w:r>
      <w:r>
        <w:t xml:space="preserve"> </w:t>
      </w:r>
      <w:r>
        <w:t xml:space="preserve">whatever motivates it, and we do not read the fitted exponent as a pinning-mechanism exponent.</w:t>
      </w:r>
    </w:p>
    <w:p>
      <w:pPr>
        <w:pStyle w:val="BodyText"/>
      </w:pPr>
      <w:r>
        <w:t xml:space="preserve">We also quantify the cost the referee anticipated. Assumption 1 of Section III.F reports that</w:t>
      </w:r>
      <w:r>
        <w:t xml:space="preserve"> </w:t>
      </w:r>
      <w:r>
        <w:t xml:space="preserve">where a paper’s critical scale was held fixed across measurement temperatures, the fitted</w:t>
      </w:r>
      <w:r>
        <w:t xml:space="preserve"> </w:t>
      </w:r>
      <w:r>
        <w:t xml:space="preserve">field exponent drifts systematically with temperature. Across the 18 series in which one</w:t>
      </w:r>
      <w:r>
        <w:t xml:space="preserve"> </w:t>
      </w:r>
      <w:r>
        <w:t xml:space="preserve">scale was held over three or more measurement temperatures, the median absolute rank</w:t>
      </w:r>
      <w:r>
        <w:t xml:space="preserve"> </w:t>
      </w:r>
      <w:r>
        <w:t xml:space="preserve">correlation between exponent and temperature is 0.70, rising to 0.80 in the nine series</w:t>
      </w:r>
      <w:r>
        <w:t xml:space="preserve"> </w:t>
      </w:r>
      <w:r>
        <w:t xml:space="preserve">sampled at four or more temperatures. In the clearest case, SmFeAsO0.8F0.2 with a scale held at 86 T, the fitted</w:t>
      </w:r>
      <w:r>
        <w:t xml:space="preserve"> </w:t>
      </w:r>
      <w:r>
        <w:t xml:space="preserve">exponent runs from 1.25 to 12.14 as the temperature rises from 2 to 35 K. Over that range</w:t>
      </w:r>
      <w:r>
        <w:t xml:space="preserve"> </w:t>
      </w:r>
      <w:r>
        <w:t xml:space="preserve">the exponent is measuring the misspecification rather than the pinning physics, and we now</w:t>
      </w:r>
      <w:r>
        <w:t xml:space="preserve"> </w:t>
      </w:r>
      <w:r>
        <w:t xml:space="preserve">say so. The same assumption now states the two further departures the referee identifies,</w:t>
      </w:r>
      <w:r>
        <w:t xml:space="preserve"> </w:t>
      </w:r>
      <w:r>
        <w:t xml:space="preserve">the exponential or stretched-exponential low-temperature behaviour arising from thermal</w:t>
      </w:r>
      <w:r>
        <w:t xml:space="preserve"> </w:t>
      </w:r>
      <w:r>
        <w:t xml:space="preserve">activation of vortices, and the change of dominant pinning regime with field and</w:t>
      </w:r>
      <w:r>
        <w:t xml:space="preserve"> </w:t>
      </w:r>
      <w:r>
        <w:t xml:space="preserve">temperature, which together mean that a single exponent per axis describes an average over</w:t>
      </w:r>
      <w:r>
        <w:t xml:space="preserve"> </w:t>
      </w:r>
      <w:r>
        <w:t xml:space="preserve">regimes rather than one mechanism.</w:t>
      </w:r>
    </w:p>
    <w:p>
      <w:pPr>
        <w:pStyle w:val="BodyText"/>
      </w:pPr>
      <w:r>
        <w:t xml:space="preserve">We should also concede two things the referee’s objection exposes that our applicability window</w:t>
      </w:r>
      <w:r>
        <w:t xml:space="preserve"> </w:t>
      </w:r>
      <w:r>
        <w:t xml:space="preserve">does not in fact handle. The window bounds reduced temperature only from above, so it does not</w:t>
      </w:r>
      <w:r>
        <w:t xml:space="preserve"> </w:t>
      </w:r>
      <w:r>
        <w:t xml:space="preserve">exclude the low-temperature regime at all, and our own worked example runs to 2 K while the</w:t>
      </w:r>
      <w:r>
        <w:t xml:space="preserve"> </w:t>
      </w:r>
      <w:r>
        <w:t>dispatch reports at 4.2 K. And the window requires reduced field above 0.3, which most of the dispatch grid did not meet. Rather than report those as predictions we now refuse them: a per-point gate on each half of the window removed 1054 targets below the reduced-field bound and 93 at or above the reduced-temperature bound, leaving 163 emitted targets over 84 compounds, all at a reduced field of 0.3226. We should be exact about what that bound is. Eq. (1) admits a curve to the fit on the width of its measured field interval, not on where a single point sits, so the two are not the same test; we apply the stricter reading to what we emit and say so.</w:t>
      </w:r>
      <w:r/>
      <w:r/>
      <w:r/>
      <w:r/>
      <w:r>
        <w:t xml:space="preserve"> </w:t>
      </w:r>
      <w:r>
        <w:t xml:space="preserve">Assumption 1 now states both plainly, and Section III.E carries the second as a labelled</w:t>
      </w:r>
      <w:r>
        <w:t xml:space="preserve"> </w:t>
      </w:r>
      <w:r>
        <w:t xml:space="preserve">limitation ahead of any dispatched value rather than after it.</w:t>
      </w:r>
    </w:p>
    <w:p>
      <w:pPr>
        <w:pStyle w:val="BodyText"/>
      </w:pPr>
      <w:r>
        <w:rPr>
          <w:iCs/>
          <w:i/>
        </w:rPr>
        <w:t xml:space="preserve">Field orientation and current direction are very important in these anisotropic compounds.</w:t>
      </w:r>
      <w:r>
        <w:rPr>
          <w:iCs/>
          <w:i/>
        </w:rPr>
        <w:t xml:space="preserve"> </w:t>
      </w:r>
      <w:r>
        <w:rPr>
          <w:iCs/>
          <w:i/>
        </w:rPr>
        <w:t xml:space="preserve">MgB2 has two-band behavior and a strong production dependence.</w:t>
      </w:r>
    </w:p>
    <w:p>
      <w:pPr>
        <w:pStyle w:val="BodyText"/>
      </w:pPr>
      <w:r>
        <w:t xml:space="preserve">Both points are now stated as limitations rather than left implicit. Section II.B records</w:t>
      </w:r>
      <w:r>
        <w:t xml:space="preserve"> </w:t>
      </w:r>
      <w:r>
        <w:t xml:space="preserve">that upper critical fields in anisotropic superconductors are orientation-dependent, that</w:t>
      </w:r>
      <w:r>
        <w:t xml:space="preserve"> </w:t>
      </w:r>
      <w:r>
        <w:t xml:space="preserve">for Fe(Te,Se) the reported values differ by more than a factor of two between the two</w:t>
      </w:r>
      <w:r>
        <w:t xml:space="preserve"> </w:t>
      </w:r>
      <w:r>
        <w:t xml:space="preserve">principal orientations, and that orientation is captured as free text for 26 records but is</w:t>
      </w:r>
      <w:r>
        <w:t xml:space="preserve"> </w:t>
      </w:r>
      <w:r>
        <w:t xml:space="preserve">not propagated into the fits while several of the reference anchors are orientation</w:t>
      </w:r>
      <w:r>
        <w:t xml:space="preserve"> </w:t>
      </w:r>
      <w:r>
        <w:t xml:space="preserve">resolved. The anchors and the measurements are therefore not guaranteed to describe the same field</w:t>
      </w:r>
      <w:r>
        <w:t xml:space="preserve"> </w:t>
      </w:r>
      <w:r>
        <w:t xml:space="preserve">configuration, and Section III.F repeats this among the field-axis caveats. On current direction</w:t>
      </w:r>
      <w:r>
        <w:t xml:space="preserve"> </w:t>
      </w:r>
      <w:r>
        <w:t xml:space="preserve">we have to concede rather than answer: the extraction does not record the current direction</w:t>
      </w:r>
      <w:r>
        <w:t xml:space="preserve"> </w:t>
      </w:r>
      <w:r>
        <w:t xml:space="preserve">relative to the crystal axes, so we cannot condition on it, and for the anisotropic families that</w:t>
      </w:r>
      <w:r>
        <w:t xml:space="preserve"> </w:t>
      </w:r>
      <w:r>
        <w:t xml:space="preserve">is a real limitation of the dataset rather than of the model.</w:t>
      </w:r>
    </w:p>
    <w:p>
      <w:pPr>
        <w:pStyle w:val="BodyText"/>
      </w:pPr>
      <w:r>
        <w:t>On MgB2 the referee’s observation and our diagnostic agree, and after repairing the anchor table they agree more strongly than we first reported. Sample form now explains 4% of the within-family variance in this class rather than 12%, against 81% for the iron chalcogenides, and corrected for the upward bias this statistic carries at small sample size the MgB2-class value is negative: the separation between sample forms in this class is smaller than the grouping produces by chance. Section III.A states that this is consistent with the two-band character of MgB2 and with its documented sensitivity to production route, both of which act through variables a sample-form label does not capture. We have to concede the test itself, separately from the result, and we would rather state this than let the referee find it. Sample form is very nearly a relabelling of source paper in this corpus: one of the 29 contributing papers carried more than one sample form before the repair and none of the 20 does after it. Under a null that shuffles the form label between papers, which is the only null that respects that structure, the MgB2-class cell admits three distinct labellings and can never return a p below 0.33 however clean the separation, and the other two families admit four and ten. The diagnostic therefore cannot establish the regime distinction it is used to draw, and Section III.A now reports the regime labels as the rule the predictor follows rather than as a tested finding. What would settle it is source papers reporting several sample forms of one compound, which the corpus we retrieved does not contain; we name that as the specific data requirement rather than as a general call for more data. Separately, and this is our error rather than a limit of the literature: 26 of the 96 anchor rows behind this diagnostic held values that contradict their source figures and are withdrawn, and 15 more carried a scale error on the current or field axis and are corrected. The audit that found them is deposited with the analysis.</w:t>
      </w:r>
      <w:r/>
      <w:r/>
      <w:r/>
      <w:r/>
      <w:r/>
      <w:r/>
      <w:r/>
      <w:r/>
      <w:r/>
      <w:r/>
      <w:r/>
      <w:r/>
    </w:p>
    <w:p>
      <w:pPr>
        <w:pStyle w:val="BodyText"/>
      </w:pPr>
      <w:r>
        <w:rPr>
          <w:iCs/>
          <w:i/>
        </w:rPr>
        <w:t xml:space="preserve">Figure 5, left, shows Jc vs T at H = 1 tesla. This is almost self-field. It was shown for a</w:t>
      </w:r>
      <w:r>
        <w:rPr>
          <w:iCs/>
          <w:i/>
        </w:rPr>
        <w:t xml:space="preserve"> </w:t>
      </w:r>
      <w:r>
        <w:rPr>
          <w:iCs/>
          <w:i/>
        </w:rPr>
        <w:t xml:space="preserve">much wider class of superconductors that the self-field critical current is a fundamental</w:t>
      </w:r>
      <w:r>
        <w:rPr>
          <w:iCs/>
          <w:i/>
        </w:rPr>
        <w:t xml:space="preserve"> </w:t>
      </w:r>
      <w:r>
        <w:rPr>
          <w:iCs/>
          <w:i/>
        </w:rPr>
        <w:t xml:space="preserve">property governed only by the London penetration depth. What if the temperature dependence</w:t>
      </w:r>
      <w:r>
        <w:rPr>
          <w:iCs/>
          <w:i/>
        </w:rPr>
        <w:t xml:space="preserve"> </w:t>
      </w:r>
      <w:r>
        <w:rPr>
          <w:iCs/>
          <w:i/>
        </w:rPr>
        <w:t xml:space="preserve">were plotted at a higher field?</w:t>
      </w:r>
    </w:p>
    <w:p>
      <w:pPr>
        <w:pStyle w:val="BodyText"/>
      </w:pPr>
      <w:r>
        <w:t xml:space="preserve">This is correct, and it turned out to be more than a matter of presentation. At 1 T against a 50 T</w:t>
      </w:r>
      <w:r>
        <w:t xml:space="preserve"> </w:t>
      </w:r>
      <w:r>
        <w:t xml:space="preserve">upper critical field the reduced field is 0.02, so the field term of our expression has</w:t>
      </w:r>
      <w:r>
        <w:t xml:space="preserve"> </w:t>
      </w:r>
      <w:r>
        <w:t xml:space="preserve">barely engaged, and what Figure 5 was showing was close to a self-field quantity. Section</w:t>
      </w:r>
      <w:r>
        <w:t xml:space="preserve"> </w:t>
      </w:r>
      <w:r>
        <w:t xml:space="preserve">III.E now states this explicitly and cites Talantsev and Tallon, whose result the referee</w:t>
      </w:r>
      <w:r>
        <w:t xml:space="preserve"> </w:t>
      </w:r>
      <w:r>
        <w:t>raises, as reference [42]. We report the family median at 4.2 K and 5 T, one of the two grid points that survive the refusal gates, which is a reduced field of 0.3226 rather than the near-self-field point the referee identified. The low-field targets the referee's objection bears on are refused rather than reported.</w:t>
      </w:r>
      <w:r/>
      <w:r/>
      <w:r/>
      <w:r/>
      <w:r/>
      <w:r/>
    </w:p>
    <w:p>
      <w:pPr>
        <w:pStyle w:val="BodyText"/>
      </w:pPr>
      <w:r>
        <w:t xml:space="preserve">The referee’s suggestion and the next criticism are connected. If the self-field critical</w:t>
      </w:r>
      <w:r>
        <w:t xml:space="preserve"> </w:t>
      </w:r>
      <w:r>
        <w:t xml:space="preserve">current is set mainly by the London penetration depth and depends only weakly on doping,</w:t>
      </w:r>
      <w:r>
        <w:t xml:space="preserve"> </w:t>
      </w:r>
      <w:r>
        <w:t xml:space="preserve">sample shape, and production route, then predictions evaluated near self-field should</w:t>
      </w:r>
      <w:r>
        <w:t xml:space="preserve"> </w:t>
      </w:r>
      <w:r>
        <w:t xml:space="preserve">cluster, which is the narrow spread the referee questions below. We have adopted the</w:t>
      </w:r>
      <w:r>
        <w:t xml:space="preserve"> </w:t>
      </w:r>
      <w:r>
        <w:t xml:space="preserve">suggestion. Figure 5 has been redrawn against reduced field over the window across which the</w:t>
      </w:r>
      <w:r>
        <w:t xml:space="preserve"> </w:t>
      </w:r>
      <w:r>
        <w:t xml:space="preserve">exponent is validated, rather than against absolute field to 10 T, where the reduced field</w:t>
      </w:r>
      <w:r>
        <w:t xml:space="preserve"> </w:t>
      </w:r>
      <w:r>
        <w:t xml:space="preserve">reaches only about 0.2. Redrawing it changed a claim. The three fields at which the dispatch grid is evaluated all fall in the low-reduced-field</w:t>
      </w:r>
      <w:r>
        <w:t xml:space="preserve"> </w:t>
      </w:r>
      <w:r>
        <w:t xml:space="preserve">corner. Plotted across the validated range, the envelopes are not parallel. The iron</w:t>
      </w:r>
      <w:r>
        <w:t xml:space="preserve"> </w:t>
      </w:r>
      <w:r>
        <w:t xml:space="preserve">chalcogenide and iron pnictide curves cross at a reduced field of 0.59, and above that point</w:t>
      </w:r>
      <w:r>
        <w:t xml:space="preserve"> </w:t>
      </w:r>
      <w:r>
        <w:t xml:space="preserve">the 122-type envelope is the higher of the two, by 0.40 dex at a reduced field of 0.9. Section III.E previously said the family ordering was unchanged at every evaluated field.</w:t>
      </w:r>
      <w:r>
        <w:t xml:space="preserve"> </w:t>
      </w:r>
      <w:r>
        <w:t xml:space="preserve">That remains true of the three evaluated fields, and the text now says so in those terms and</w:t>
      </w:r>
      <w:r>
        <w:t xml:space="preserve"> </w:t>
      </w:r>
      <w:r>
        <w:t xml:space="preserve">reports the crossing alongside it. The screening claim is now limited to low reduced field.</w:t>
      </w:r>
      <w:r>
        <w:t xml:space="preserve"> </w:t>
      </w:r>
      <w:r>
        <w:t xml:space="preserve">Clearly, the crossing follows from the fitted field exponents and the critical-field</w:t>
      </w:r>
      <w:r>
        <w:t xml:space="preserve"> </w:t>
      </w:r>
      <w:r>
        <w:t xml:space="preserve">anchors, the two quantities Section III.F qualifies, so we report it to bound the screening</w:t>
      </w:r>
      <w:r>
        <w:t xml:space="preserve"> </w:t>
      </w:r>
      <w:r>
        <w:t xml:space="preserve">claim, not as a prediction that 122-type overtakes the 11-type family in high field. We would not have seen this without the</w:t>
      </w:r>
      <w:r>
        <w:t xml:space="preserve"> </w:t>
      </w:r>
      <w:r>
        <w:t xml:space="preserve">referee’s suggestion.</w:t>
      </w:r>
    </w:p>
    <w:p>
      <w:pPr>
        <w:pStyle w:val="BodyText"/>
      </w:pPr>
      <w:r>
        <w:rPr>
          <w:iCs/>
          <w:i/>
        </w:rPr>
        <w:t xml:space="preserve">In Figure 5, right, Jc vs H changes suspiciously weakly. In what field configuration was it</w:t>
      </w:r>
      <w:r>
        <w:rPr>
          <w:iCs/>
          <w:i/>
        </w:rPr>
        <w:t xml:space="preserve"> </w:t>
      </w:r>
      <w:r>
        <w:rPr>
          <w:iCs/>
          <w:i/>
        </w:rPr>
        <w:t xml:space="preserve">measured? The spread of Jc at H = 0 is also suspiciously small: a factor of 5 between the 11</w:t>
      </w:r>
      <w:r>
        <w:rPr>
          <w:iCs/>
          <w:i/>
        </w:rPr>
        <w:t xml:space="preserve"> </w:t>
      </w:r>
      <w:r>
        <w:rPr>
          <w:iCs/>
          <w:i/>
        </w:rPr>
        <w:t xml:space="preserve">type and MgB2, a factor of 2 within types. The bracket is shown with excessive precision:</w:t>
      </w:r>
      <w:r>
        <w:rPr>
          <w:iCs/>
          <w:i/>
        </w:rPr>
        <w:t xml:space="preserve"> </w:t>
      </w:r>
      <w:r>
        <w:rPr>
          <w:iCs/>
          <w:i/>
        </w:rPr>
        <w:t xml:space="preserve">0.388 dex? Why not 0.39 dex? For an SC specialist this bar could be expressed as just x2.5.</w:t>
      </w:r>
    </w:p>
    <w:p>
      <w:pPr>
        <w:pStyle w:val="BodyText"/>
      </w:pPr>
      <w:r>
        <w:t xml:space="preserve">Each of these is correct and each is now addressed.</w:t>
      </w:r>
    </w:p>
    <w:p>
      <w:pPr>
        <w:pStyle w:val="BodyText"/>
      </w:pPr>
      <w:r>
        <w:t xml:space="preserve">The weak field dependence is arithmetic. For the two iron-based families, whose dispatch anchors run from 16 to 60 T, the reduced field term moves the</w:t>
      </w:r>
      <w:r>
        <w:t xml:space="preserve"> </w:t>
      </w:r>
      <w:r>
        <w:t xml:space="preserve">prediction by 0.03 to 0.07 dex at 5 T. MgB2-class is the exception, and we should have given it: against a 15.5 T parent anchor the</w:t>
      </w:r>
      <w:r>
        <w:t xml:space="preserve"> </w:t>
      </w:r>
      <w:r>
        <w:t xml:space="preserve">shift at 5 T is 0.34 dex, a factor of 2.2. The flatness the referee saw is specific to the</w:t>
      </w:r>
      <w:r>
        <w:t xml:space="preserve"> </w:t>
      </w:r>
      <w:r>
        <w:t xml:space="preserve">iron-based families and to the reduced-field range covered. The field configuration is the point</w:t>
      </w:r>
      <w:r>
        <w:t xml:space="preserve"> </w:t>
      </w:r>
      <w:r>
        <w:t xml:space="preserve">raised above: orientation is recorded but not propagated, and we now say so rather than</w:t>
      </w:r>
      <w:r>
        <w:t xml:space="preserve"> </w:t>
      </w:r>
      <w:r>
        <w:t xml:space="preserve">leaving the reader to assume an isotropic treatment.</w:t>
      </w:r>
    </w:p>
    <w:p>
      <w:pPr>
        <w:pStyle w:val="BodyText"/>
      </w:pPr>
      <w:r>
        <w:t xml:space="preserve">The small spread led to the largest change in the paper. The referee was right, and the</w:t>
      </w:r>
      <w:r>
        <w:t xml:space="preserve"> </w:t>
      </w:r>
      <w:r>
        <w:t xml:space="preserve">explanation is structural rather than statistical.</w:t>
      </w:r>
      <w:r>
        <w:t xml:space="preserve"> </w:t>
      </w:r>
      <w:r>
        <w:t>Section III.E now reports this, and the reduced-field gate introduced in this revision has since narrowed what there is to report. Only the MgB2 class still dispatches; the iron chalcogenide and iron pnictide 122-type dispatches are refused in full. We have to correct a count before answering. The dispatch emits at two grid points, not one: 4.2 K and 5 T, where 86 records cover 84 compounds, and 20 K and 5 T, where 77 cover 75. Both clear this revision's gates, at reduced temperatures of 0.48 to 0.70 against the 0.7 bound and a reduced field of 0.3226 against the 0.3 bound. Section III.E and an earlier version of this letter both said one grid point; the assertion behind that wording checks that a single field is emitted, which is true, and we read it as a single grid point, which it is not. At 4.2 K and 5 T the 86 records span 0.0098 dex, 1.6% of the 0.60 dex bootstrap interval at that point; at 20 K and 5 T the 77 records span 0.259 dex. At 20 K the explanation we gave holds: the conditioning fixes every parameter of the expression and the compound-specific inputs are the critical-field anchor and the transition temperature. The prediction regresses on the temperature term the model forms with a slope of 1.22 and an R squared of 0.996, recovering the family exponent of 1.14, so the candidate's own transition temperature enters exactly as described. At 4.2 K it cannot enter, and this is the part we had not seen. The model is anchored at a reference point, and its temperature term is the difference between log10(1 - T/Tc) and the same quantity at that reference. The reference temperature is 4.2 K. At 4.2 K the difference is therefore identically zero for every candidate whatever its transition temperature, and across 59 distinct anchors from 8.9 to 41.4 K the largest value that term takes is exactly zero. Every dispatched record also carries the same 15.5 T parent critical-field anchor, so the field term is one shared number. The prediction at that grid point is a single family-level constant, 4.980 in log10 Jc, which is the family's own critical-current anchor of 5.324 displaced by 0.344 dex by the shared field term. So the referee's reading is right and the figure supports it more strongly than we claimed. What the 0.0098 dex measures is not a spread between compounds. With the temperature term zero and the field anchor common, all 86 records have identical model inputs and differ only in their draw from one bootstrap stream over a pool of 18 fits. Resampling that pool 84 times independently returns a span of 0.0092 dex with a standard deviation of 0.0016, of which the observed value is an ordinary draw. The number is evidence that the predictor is constant at that point and evidence of nothing else, and we no longer offer it as a measured quantity. What would let us report a compound-resolved spread is a dispatch grid that does not evaluate at the anchor's own reference temperature, which the present grid does, and we state that as the specific change rather than as a general limitation.</w:t>
      </w:r>
      <w:r/>
      <w:r/>
      <w:r/>
      <w:r/>
      <w:r/>
      <w:r/>
      <w:r/>
      <w:r/>
      <w:r/>
      <w:r/>
      <w:r/>
      <w:r/>
    </w:p>
    <w:p>
      <w:pPr>
        <w:pStyle w:val="BodyText"/>
      </w:pPr>
      <w:r>
        <w:t>On precision, we have adopted the referee's correction and no longer carry a third digit. The width itself has since changed. The 0.388 dex the referee read was the median over the predictions the pipeline emitted before the reduced-field gate introduced in this revision; over the 163 predictions that survive our refusal gates the median full width is 0.61 dex, a factor of about 4.1, and 0.60 dex at the 4.2 K grid point specifically. We should also say what that width is made of. On the three records carrying an exact critical-field anchor it is 0.395 dex; on the 83 carrying a parent anchor it is 0.602. The difference is a deterministic plus or minus 20 percent perturbation envelope on the parent anchor rather than bootstrap spread, so about a third of the quoted width is not sampling uncertainty. At the upper perturbation that envelope evaluates the model at a reduced field of 0.269, below the 0.3 applicability bound this revision introduced, which we flag as a defect in the envelope rather than defend.</w:t>
      </w:r>
      <w:r/>
      <w:r>
        <w:t xml:space="preserve"> Fitted errors and exponents are still given to three figures where they</w:t>
      </w:r>
      <w:r>
        <w:t xml:space="preserve"> </w:t>
      </w:r>
      <w:r>
        <w:t xml:space="preserve">are compared against one another across families, since rounding them to two would collapse</w:t>
      </w:r>
      <w:r>
        <w:t xml:space="preserve"> </w:t>
      </w:r>
      <w:r>
        <w:t xml:space="preserve">distinctions the applicability table turns on; we have removed the third digit wherever it was</w:t>
      </w:r>
      <w:r>
        <w:t xml:space="preserve"> </w:t>
      </w:r>
      <w:r>
        <w:t>carrying no comparison. We have also adopted the suggested gloss, giving the width as a factor in the critical current rather than only in dex: it is a factor of about 4.1</w:t>
      </w:r>
      <w:r/>
      <w:r>
        <w:t>, and</w:t>
      </w:r>
      <w:r>
        <w:t xml:space="preserve"> </w:t>
      </w:r>
      <w:r>
        <w:t xml:space="preserve">Table S2 of the Supplemental Material carries the same conversion for dex generally.</w:t>
      </w:r>
    </w:p>
    <w:p>
      <w:pPr>
        <w:pStyle w:val="BodyText"/>
      </w:pPr>
      <w:r>
        <w:rPr>
          <w:iCs/>
          <w:i/>
        </w:rPr>
        <w:t xml:space="preserve">This crude model yields some acceptable results. There are three fitting parameters, and</w:t>
      </w:r>
      <w:r>
        <w:rPr>
          <w:iCs/>
          <w:i/>
        </w:rPr>
        <w:t xml:space="preserve"> </w:t>
      </w:r>
      <w:r>
        <w:rPr>
          <w:iCs/>
          <w:i/>
        </w:rPr>
        <w:t xml:space="preserve">experimental data seldom span orders of magnitude, so the model may work with some accuracy.</w:t>
      </w:r>
      <w:r>
        <w:rPr>
          <w:iCs/>
          <w:i/>
        </w:rPr>
        <w:t xml:space="preserve"> </w:t>
      </w:r>
      <w:r>
        <w:rPr>
          <w:iCs/>
          <w:i/>
        </w:rPr>
        <w:t xml:space="preserve">Also, Jc continues to decrease with both T and H, so monotonicity is preserved.</w:t>
      </w:r>
    </w:p>
    <w:p>
      <w:pPr>
        <w:pStyle w:val="BodyText"/>
      </w:pPr>
      <w:r>
        <w:t xml:space="preserve">We are grateful for this reading. It gives the reason the parameterization works better than</w:t>
      </w:r>
      <w:r>
        <w:t xml:space="preserve"> </w:t>
      </w:r>
      <w:r>
        <w:t xml:space="preserve">its derivation would suggest, and we have adopted it rather than claiming more.</w:t>
      </w:r>
      <w:r>
        <w:t xml:space="preserve"> </w:t>
      </w:r>
      <w:r>
        <w:t xml:space="preserve">Section II.C now presents the expression as an empirical aggregation form that retains the</w:t>
      </w:r>
      <w:r>
        <w:t xml:space="preserve"> </w:t>
      </w:r>
      <w:r>
        <w:t xml:space="preserve">reduced-scale structure of the Kramer and Dew-Hughes descriptions, given as Eq. (3), while</w:t>
      </w:r>
      <w:r>
        <w:t xml:space="preserve"> </w:t>
      </w:r>
      <w:r>
        <w:t xml:space="preserve">replacing the mechanism-specific exponents with a single fitted exponent per axis, and</w:t>
      </w:r>
      <w:r>
        <w:t xml:space="preserve"> </w:t>
      </w:r>
      <w:r>
        <w:t xml:space="preserve">states that we do not interpret that exponent as a pinning-mechanism exponent. Monotonicity</w:t>
      </w:r>
      <w:r>
        <w:t xml:space="preserve"> </w:t>
      </w:r>
      <w:r>
        <w:t xml:space="preserve">is enforced as a refusal gate rather than assumed, although we note that no dispatched candidate</w:t>
      </w:r>
      <w:r>
        <w:t xml:space="preserve"> </w:t>
      </w:r>
      <w:r>
        <w:t xml:space="preserve">has triggered it; the gate fired only on one external cuprate during validation.</w:t>
      </w:r>
    </w:p>
    <w:p>
      <w:pPr>
        <w:pStyle w:val="BodyText"/>
      </w:pPr>
      <w:r>
        <w:rPr>
          <w:iCs/>
          <w:i/>
        </w:rPr>
        <w:t xml:space="preserve">I wonder whether the data are limited to these two sources, Elsevier and Springer, or span</w:t>
      </w:r>
      <w:r>
        <w:rPr>
          <w:iCs/>
          <w:i/>
        </w:rPr>
        <w:t xml:space="preserve"> </w:t>
      </w:r>
      <w:r>
        <w:rPr>
          <w:iCs/>
          <w:i/>
        </w:rPr>
        <w:t xml:space="preserve">all available literature.</w:t>
      </w:r>
    </w:p>
    <w:p>
      <w:pPr>
        <w:pStyle w:val="BodyText"/>
      </w:pPr>
      <w:r>
        <w:t xml:space="preserve">They are not limited to those two sources, and our earlier text implied otherwise, which we</w:t>
      </w:r>
      <w:r>
        <w:t xml:space="preserve"> </w:t>
      </w:r>
      <w:r>
        <w:t xml:space="preserve">regret. Section II.A now states that the Elsevier and Springer interfaces supplied the</w:t>
      </w:r>
      <w:r>
        <w:t xml:space="preserve"> </w:t>
      </w:r>
      <w:r>
        <w:t>retrieval and screening corpus, that 18 of the 20 source papers behind the temperature-axis cohort are arXiv preprints</w:t>
      </w:r>
      <w:r/>
      <w:r>
        <w:t>, and that the field-axis cohort additionally includes nine records</w:t>
      </w:r>
      <w:r>
        <w:t xml:space="preserve"> </w:t>
      </w:r>
      <w:r>
        <w:t xml:space="preserve">digitized from National High Magnetic Field Laboratory datasets. We also state plainly that</w:t>
      </w:r>
      <w:r>
        <w:t xml:space="preserve"> </w:t>
      </w:r>
      <w:r>
        <w:t xml:space="preserve">the retrieval is candidate-driven rather than exhaustive, so the corpus does not span all</w:t>
      </w:r>
      <w:r>
        <w:t xml:space="preserve"> </w:t>
      </w:r>
      <w:r>
        <w:t xml:space="preserve">published literature and the coverage is biased toward the venues queried. All source</w:t>
      </w:r>
      <w:r>
        <w:t xml:space="preserve"> </w:t>
      </w:r>
      <w:r>
        <w:t xml:space="preserve">identifiers are enumerated in the deposit.</w:t>
      </w:r>
    </w:p>
    <w:p>
      <w:pPr>
        <w:pStyle w:val="BodyText"/>
      </w:pPr>
      <w:r>
        <w:rPr>
          <w:iCs/>
          <w:i/>
        </w:rPr>
        <w:t xml:space="preserve">“</w:t>
      </w:r>
      <w:r>
        <w:rPr>
          <w:iCs/>
          <w:i/>
        </w:rPr>
        <w:t xml:space="preserve">934 papers</w:t>
      </w:r>
      <w:r>
        <w:rPr>
          <w:iCs/>
          <w:i/>
        </w:rPr>
        <w:t xml:space="preserve">”</w:t>
      </w:r>
      <w:r>
        <w:rPr>
          <w:iCs/>
          <w:i/>
        </w:rPr>
        <w:t xml:space="preserve"> </w:t>
      </w:r>
      <w:r>
        <w:rPr>
          <w:iCs/>
          <w:i/>
        </w:rPr>
        <w:t xml:space="preserve">exaggerates the effective dataset size. The authors should clearly report the</w:t>
      </w:r>
      <w:r>
        <w:rPr>
          <w:iCs/>
          <w:i/>
        </w:rPr>
        <w:t xml:space="preserve"> </w:t>
      </w:r>
      <w:r>
        <w:rPr>
          <w:iCs/>
          <w:i/>
        </w:rPr>
        <w:t xml:space="preserve">number of papers actually contributing Jc curves, the number of physical samples, the number</w:t>
      </w:r>
      <w:r>
        <w:rPr>
          <w:iCs/>
          <w:i/>
        </w:rPr>
        <w:t xml:space="preserve"> </w:t>
      </w:r>
      <w:r>
        <w:rPr>
          <w:iCs/>
          <w:i/>
        </w:rPr>
        <w:t xml:space="preserve">of compounds. The Supplemental Material helps but introduces yet another number, 69 papers.</w:t>
      </w:r>
    </w:p>
    <w:p>
      <w:pPr>
        <w:pStyle w:val="BodyText"/>
      </w:pPr>
      <w:r>
        <w:t xml:space="preserve">We accept this and have separated the screening corpus from the evidence base for any fitted</w:t>
      </w:r>
      <w:r>
        <w:t xml:space="preserve"> </w:t>
      </w:r>
      <w:r>
        <w:t>quantity. Table I of Section II.A now gives the full ladder in one place: 934 articles screened, 50 contributing fitted curves, 35 distinct compounds, 3303 extracted critical-current points, 257 temperature-axis fits, 52 field-axis fits drawn from 12 source papers, and 96 per-paper anchors behind Figure 3. The counts for contributing papers, compounds and extracted points are lower than in the previous revision because eleven papers were withdrawn from the cohort and their provenance rows had not been removed with them; the reasons are set out below. The figure of 50 is no longer introduced first in the Supplemental Material</w:t>
      </w:r>
      <w:r/>
      <w:r/>
      <w:r/>
      <w:r/>
      <w:r/>
      <w:r/>
      <w:r/>
      <w:r>
        <w:t>; it appears in the</w:t>
      </w:r>
      <w:r>
        <w:t xml:space="preserve"> </w:t>
      </w:r>
      <w:r>
        <w:t xml:space="preserve">main text and the Supplemental Material inherits it. The abstract now leads with the smaller</w:t>
      </w:r>
      <w:r>
        <w:t xml:space="preserve"> </w:t>
      </w:r>
      <w:r>
        <w:t xml:space="preserve">numbers rather than with 934. The referee is also right that the figure and the tables appear to disagree, and we should</w:t>
      </w:r>
      <w:r>
        <w:t xml:space="preserve"> </w:t>
      </w:r>
      <w:r>
        <w:t xml:space="preserve">have labelled the difference. The markers in Figure 3 are</w:t>
      </w:r>
      <w:r>
        <w:t xml:space="preserve"> </w:t>
      </w:r>
      <w:r>
        <w:t xml:space="preserve">per physical sample, one per source paper and specimen with multiple isotherms of the same</w:t>
      </w:r>
      <w:r>
        <w:t xml:space="preserve"> </w:t>
      </w:r>
      <w:r>
        <w:t xml:space="preserve">specimen averaged into a single record, while the tables count per-curve fits, so the two are</w:t>
      </w:r>
      <w:r>
        <w:t xml:space="preserve"> </w:t>
      </w:r>
      <w:r>
        <w:t>different objects. The caption now gives both numbers, 56 of the 96 anchors falling in the three panels shown and the 37 markers they collapse to</w:t>
      </w:r>
      <w:r/>
      <w:r>
        <w:t>, and we accept that the panels are overplotted enough that counting the markers by eye could</w:t>
      </w:r>
      <w:r>
        <w:t xml:space="preserve"> </w:t>
      </w:r>
      <w:r>
        <w:t xml:space="preserve">not have given the right figure.</w:t>
      </w:r>
    </w:p>
    <w:p>
      <w:pPr>
        <w:pStyle w:val="BodyText"/>
      </w:pPr>
      <w:r>
        <w:rPr>
          <w:iCs/>
          <w:i/>
        </w:rPr>
        <w:t xml:space="preserve">Grouping the data reduces the error in the field-dependence exponent by a factor of 23.</w:t>
      </w:r>
      <w:r>
        <w:rPr>
          <w:iCs/>
          <w:i/>
        </w:rPr>
        <w:t xml:space="preserve"> </w:t>
      </w:r>
      <w:r>
        <w:rPr>
          <w:iCs/>
          <w:i/>
        </w:rPr>
        <w:t xml:space="preserve">This is an exaggeration. An error of ten orders of magnitude (10.10 dex) is problematic and</w:t>
      </w:r>
      <w:r>
        <w:rPr>
          <w:iCs/>
          <w:i/>
        </w:rPr>
        <w:t xml:space="preserve"> </w:t>
      </w:r>
      <w:r>
        <w:rPr>
          <w:iCs/>
          <w:i/>
        </w:rPr>
        <w:t xml:space="preserve">is driven largely by the cuprate fits that stem from the crude model. Is that so?</w:t>
      </w:r>
    </w:p>
    <w:p>
      <w:pPr>
        <w:pStyle w:val="BodyText"/>
      </w:pPr>
      <w:r>
        <w:t xml:space="preserve">It is, on four counts, and we no longer make the claim in that form.</w:t>
      </w:r>
    </w:p>
    <w:p>
      <w:pPr>
        <w:pStyle w:val="BodyText"/>
      </w:pPr>
      <w:r>
        <w:t xml:space="preserve">The units were wrong. Errors in a fitted exponent are dimensionless, not logarithmic, and</w:t>
      </w:r>
      <w:r>
        <w:t xml:space="preserve"> </w:t>
      </w:r>
      <w:r>
        <w:t xml:space="preserve">labelling them in dex is what made 10.10 read as ten orders of magnitude in current density.</w:t>
      </w:r>
      <w:r>
        <w:t xml:space="preserve"> </w:t>
      </w:r>
      <w:r>
        <w:t xml:space="preserve">This is corrected throughout the manuscript and the Supplemental Material. The cohorts were</w:t>
      </w:r>
      <w:r>
        <w:t xml:space="preserve"> </w:t>
      </w:r>
      <w:r>
        <w:t>also mismatched: the larger error is computed across the nine substructure families of an earlier version of this analysis and the</w:t>
      </w:r>
      <w:r>
        <w:t xml:space="preserve"> </w:t>
      </w:r>
      <w:r>
        <w:t xml:space="preserve">smaller across the five that carry populated sample-form cells, so the ratio compared</w:t>
      </w:r>
      <w:r>
        <w:t xml:space="preserve"> </w:t>
      </w:r>
      <w:r>
        <w:t>different populations. Restricting to the matched five-family cohort removes that mismatch but not a more serious one, which we found on re-examining the comparison: in both versions the predictor for a held-out family was built from a pool containing that family's own fits, so neither was a statement about generalization. Under a leave-one-substructure-out protocol, with the held-out family withheld at every stage, the improvement is between one and about two-fold and depends on the cohort: 1.07-fold across the seven families carrying a descriptor, 2.24-fold on the fits passing physicality, and 1.83-fold with the cuprate families removed. Those are the figures we now report, and we no longer offer a single fold-improvement headline.</w:t>
      </w:r>
      <w:r/>
      <w:r>
        <w:t xml:space="preserve"> The referee is further</w:t>
      </w:r>
      <w:r>
        <w:t xml:space="preserve"> </w:t>
      </w:r>
      <w:r>
        <w:t xml:space="preserve">correct that the cuprates dominate the residual. Section 1 of the Supplemental Material</w:t>
      </w:r>
      <w:r>
        <w:t xml:space="preserve"> </w:t>
      </w:r>
      <w:r>
        <w:t>reports that they account for 59% of the residual mass while representing 43% of the cohort.</w:t>
      </w:r>
      <w:r>
        <w:t xml:space="preserve"> </w:t>
      </w:r>
      <w:r>
        <w:t xml:space="preserve">Three cuprate substructures reach the imposed regression ceiling because their measured field</w:t>
      </w:r>
      <w:r>
        <w:t xml:space="preserve"> </w:t>
      </w:r>
      <w:r>
        <w:t xml:space="preserve">windows lie far below the critical field. Every exponent entering</w:t>
      </w:r>
      <w:r>
        <w:t xml:space="preserve"> </w:t>
      </w:r>
      <w:r>
        <w:t xml:space="preserve">the ratio also inherits the field-scale qualification described below, and we label it as such.</w:t>
      </w:r>
      <w:r>
        <w:t xml:space="preserve"> </w:t>
      </w:r>
      <w:r>
        <w:t xml:space="preserve">Applying the same test elsewhere in the paper, we found the mismatched-cohort error a second</w:t>
      </w:r>
      <w:r>
        <w:t xml:space="preserve"> </w:t>
      </w:r>
      <w:r>
        <w:t>time: the 26.8% anchor-count reduction quoted in Section III.B compared a three-compound one-anchor value against a four-compound three-anchor one; the matched pair gives 45.2%.</w:t>
      </w:r>
      <w:r/>
      <w:r>
        <w:t xml:space="preserve"> That matched pair, 1.267 to 0.694, is the figure we now carry.</w:t>
      </w:r>
      <w:r/>
      <w:r/>
    </w:p>
    <w:p>
      <w:pPr>
        <w:pStyle w:val="BodyText"/>
      </w:pPr>
      <w:r>
        <w:t xml:space="preserve">The conditioning claim no longer rests on this ratio at all. It rests on</w:t>
      </w:r>
      <w:r>
        <w:t xml:space="preserve"> </w:t>
      </w:r>
      <w:r>
        <w:t xml:space="preserve">the variance-decomposition diagnostic, which is computed on the critical-current anchor and</w:t>
      </w:r>
      <w:r>
        <w:t xml:space="preserve"> </w:t>
      </w:r>
      <w:r>
        <w:t xml:space="preserve">uses neither a fitted exponent nor a critical field scale. We verified that quantity</w:t>
      </w:r>
      <w:r>
        <w:t xml:space="preserve"> </w:t>
      </w:r>
      <w:r>
        <w:t>independently of the corrections: all 96 per-paper anchor groups are identical before and after</w:t>
      </w:r>
      <w:r/>
      <w:r>
        <w:t xml:space="preserve"> the magnetic-field unit repair described below.</w:t>
      </w:r>
    </w:p>
    <w:p>
      <w:pPr>
        <w:pStyle w:val="BodyText"/>
      </w:pPr>
      <w:r>
        <w:rPr>
          <w:iCs/>
          <w:i/>
        </w:rPr>
        <w:t xml:space="preserve">None of the materials shown, with the exception of MgB2, are really applied anywhere. If</w:t>
      </w:r>
      <w:r>
        <w:rPr>
          <w:iCs/>
          <w:i/>
        </w:rPr>
        <w:t xml:space="preserve"> </w:t>
      </w:r>
      <w:r>
        <w:rPr>
          <w:iCs/>
          <w:i/>
        </w:rPr>
        <w:t xml:space="preserve">these classes included the more practical YBCO or REBCO and BSCCO, the results might cluster</w:t>
      </w:r>
      <w:r>
        <w:rPr>
          <w:iCs/>
          <w:i/>
        </w:rPr>
        <w:t xml:space="preserve"> </w:t>
      </w:r>
      <w:r>
        <w:rPr>
          <w:iCs/>
          <w:i/>
        </w:rPr>
        <w:t xml:space="preserve">more closely around typical industrially achieved values. Both are highly field-dependent,</w:t>
      </w:r>
      <w:r>
        <w:rPr>
          <w:iCs/>
          <w:i/>
        </w:rPr>
        <w:t xml:space="preserve"> </w:t>
      </w:r>
      <w:r>
        <w:rPr>
          <w:iCs/>
          <w:i/>
        </w:rPr>
        <w:t xml:space="preserve">depend much more strongly on field angle, and have Hc2 values higher than can be measured.</w:t>
      </w:r>
      <w:r>
        <w:rPr>
          <w:iCs/>
          <w:i/>
        </w:rPr>
        <w:t xml:space="preserve"> </w:t>
      </w:r>
      <w:r>
        <w:rPr>
          <w:iCs/>
          <w:i/>
        </w:rPr>
        <w:t xml:space="preserve">They also do not obey Eq. 1, especially REBCO with its very robust B parallel to ab</w:t>
      </w:r>
      <w:r>
        <w:rPr>
          <w:iCs/>
          <w:i/>
        </w:rPr>
        <w:t xml:space="preserve"> </w:t>
      </w:r>
      <w:r>
        <w:rPr>
          <w:iCs/>
          <w:i/>
        </w:rPr>
        <w:t xml:space="preserve">behavior.</w:t>
      </w:r>
    </w:p>
    <w:p>
      <w:pPr>
        <w:pStyle w:val="BodyText"/>
      </w:pPr>
      <w:r>
        <w:t xml:space="preserve">We concede this, and we state it as a limit on the work rather than as a gap to be filled</w:t>
      </w:r>
      <w:r>
        <w:t xml:space="preserve"> </w:t>
      </w:r>
      <w:r>
        <w:t xml:space="preserve">later. The data-layer limitations of Section III.F now record that the framework has not</w:t>
      </w:r>
      <w:r>
        <w:t xml:space="preserve"> </w:t>
      </w:r>
      <w:r>
        <w:t xml:space="preserve">been validated on the deployed conductor materials, that REBCO in particular does not obey</w:t>
      </w:r>
      <w:r>
        <w:t xml:space="preserve"> </w:t>
      </w:r>
      <w:r>
        <w:t>our expression over the ranges of interest, and that the cuprates enter the work two ways, five cuprate papers in the fitted cohort and four out-of-corpus cuprates as the external validation set, where they exhibit measurement-window saturation.</w:t>
      </w:r>
      <w:r/>
      <w:r>
        <w:t xml:space="preserve"> We add the</w:t>
      </w:r>
      <w:r>
        <w:t xml:space="preserve"> </w:t>
      </w:r>
      <w:r>
        <w:t xml:space="preserve">referee’s point that these materials have critical fields higher than can be directly</w:t>
      </w:r>
      <w:r>
        <w:t xml:space="preserve"> </w:t>
      </w:r>
      <w:r>
        <w:t xml:space="preserve">measured and a much stronger field-angle dependence, which means that extending the</w:t>
      </w:r>
      <w:r>
        <w:t xml:space="preserve"> </w:t>
      </w:r>
      <w:r>
        <w:t xml:space="preserve">framework to them is not a matter of adding data. It would require a functional form</w:t>
      </w:r>
      <w:r>
        <w:t xml:space="preserve"> </w:t>
      </w:r>
      <w:r>
        <w:t xml:space="preserve">appropriate to their pinning behaviour and an orientation-resolved treatment that our</w:t>
      </w:r>
      <w:r>
        <w:t xml:space="preserve"> </w:t>
      </w:r>
      <w:r>
        <w:t xml:space="preserve">current extraction does not support.</w:t>
      </w:r>
    </w:p>
    <w:p>
      <w:pPr>
        <w:pStyle w:val="BodyText"/>
      </w:pPr>
      <w:r>
        <w:rPr>
          <w:iCs/>
          <w:i/>
        </w:rPr>
        <w:t xml:space="preserve">In a few places, La2FeAsO is used instead of LaFeAsO.</w:t>
      </w:r>
    </w:p>
    <w:p>
      <w:pPr>
        <w:pStyle w:val="BodyText"/>
      </w:pPr>
      <w:r>
        <w:t xml:space="preserve">Corrected. The referee has identified something systematic rather than a typing slip. The analysis pipeline carries Materials Project reduced formulas throughout, which is</w:t>
      </w:r>
      <w:r>
        <w:t xml:space="preserve"> </w:t>
      </w:r>
      <w:r>
        <w:t xml:space="preserve">how the form reached the manuscript. The paper now uses conventional superconductivity</w:t>
      </w:r>
      <w:r>
        <w:t xml:space="preserve"> </w:t>
      </w:r>
      <w:r>
        <w:t xml:space="preserve">nomenclature everywhere, and Table S3 of the Supplemental Material gives the full mapping,</w:t>
      </w:r>
      <w:r>
        <w:t xml:space="preserve"> </w:t>
      </w:r>
      <w:r>
        <w:t xml:space="preserve">including LaFeAsO for La2FeAs2O, BaFe2As2 for Ba(FeAs)2, KFe2As2 for K(FeAs)2, FeTe0.5Se0.5</w:t>
      </w:r>
      <w:r>
        <w:t xml:space="preserve"> </w:t>
      </w:r>
      <w:r>
        <w:t xml:space="preserve">for Fe2TeSe, and Bi-2223 for Sr2Ca2Cu3(BiO5)2.</w:t>
      </w:r>
    </w:p>
    <w:p>
      <w:pPr>
        <w:pStyle w:val="BodyText"/>
      </w:pPr>
      <w:r>
        <w:rPr>
          <w:iCs/>
          <w:i/>
        </w:rPr>
        <w:t xml:space="preserve">The present manuscript overstates this contribution as compound-specific Jc prediction.</w:t>
      </w:r>
      <w:r>
        <w:rPr>
          <w:iCs/>
          <w:i/>
        </w:rPr>
        <w:t xml:space="preserve"> </w:t>
      </w:r>
      <w:r>
        <w:rPr>
          <w:iCs/>
          <w:i/>
        </w:rPr>
        <w:t xml:space="preserve">Substantial revision, complete release of the extracted data and code, clarification of the</w:t>
      </w:r>
      <w:r>
        <w:rPr>
          <w:iCs/>
          <w:i/>
        </w:rPr>
        <w:t xml:space="preserve"> </w:t>
      </w:r>
      <w:r>
        <w:rPr>
          <w:iCs/>
          <w:i/>
        </w:rPr>
        <w:t xml:space="preserve">validation procedure, and reframing of the output as family and sample-form performance</w:t>
      </w:r>
      <w:r>
        <w:rPr>
          <w:iCs/>
          <w:i/>
        </w:rPr>
        <w:t xml:space="preserve"> </w:t>
      </w:r>
      <w:r>
        <w:rPr>
          <w:iCs/>
          <w:i/>
        </w:rPr>
        <w:t xml:space="preserve">envelopes are necessary.</w:t>
      </w:r>
    </w:p>
    <w:p>
      <w:pPr>
        <w:pStyle w:val="BodyText"/>
      </w:pPr>
      <w:r>
        <w:t xml:space="preserve">We have adopted this reframing as the paper’s stated output rather than as a caveat added to</w:t>
      </w:r>
      <w:r>
        <w:t xml:space="preserve"> </w:t>
      </w:r>
      <w:r>
        <w:t xml:space="preserve">it. The abstract now says that the framework emits family-scope envelopes together with</w:t>
      </w:r>
      <w:r>
        <w:t xml:space="preserve"> </w:t>
      </w:r>
      <w:r>
        <w:t xml:space="preserve">an explicit refusal decision, and that within a family the envelope is a single curve shared</w:t>
      </w:r>
      <w:r>
        <w:t xml:space="preserve"> </w:t>
      </w:r>
      <w:r>
        <w:t xml:space="preserve">by all member candidates. Section III.E demonstrates it with the counts given above,</w:t>
      </w:r>
      <w:r>
        <w:t xml:space="preserve"> </w:t>
      </w:r>
      <w:r>
        <w:t xml:space="preserve">Assumption 4 of Section III.F states it as a bound on inferential scope, and the caption of</w:t>
      </w:r>
      <w:r>
        <w:t xml:space="preserve"> </w:t>
      </w:r>
      <w:r>
        <w:t>Figure 5 repeats it. We have removed the phrasing that could be read as a ranking of 183 candidate compounds, and</w:t>
      </w:r>
      <w:r>
        <w:t xml:space="preserve"> </w:t>
      </w:r>
      <w:r>
        <w:t xml:space="preserve">we say directly that such a reading is available from a quick look at a candidate table but</w:t>
      </w:r>
      <w:r>
        <w:t xml:space="preserve"> </w:t>
      </w:r>
      <w:r>
        <w:t xml:space="preserve">is not what the method does.</w:t>
      </w:r>
    </w:p>
    <w:p>
      <w:pPr>
        <w:pStyle w:val="BodyText"/>
      </w:pPr>
      <w:r>
        <w:t xml:space="preserve">On validation, every result is now labelled with its cohort, its protocol, and the critical</w:t>
      </w:r>
      <w:r>
        <w:t xml:space="preserve"> </w:t>
      </w:r>
      <w:r>
        <w:t xml:space="preserve">scale implementation that produced it, and the applicability bound is reported separately</w:t>
      </w:r>
      <w:r>
        <w:t xml:space="preserve"> </w:t>
      </w:r>
      <w:r>
        <w:t xml:space="preserve">for each axis because the two rest on different evidence. On release, the Data Availability</w:t>
      </w:r>
      <w:r>
        <w:t xml:space="preserve"> </w:t>
      </w:r>
      <w:r>
        <w:t xml:space="preserve">statement specifies the data and code as described above, including both implementations of</w:t>
      </w:r>
      <w:r>
        <w:t xml:space="preserve"> </w:t>
      </w:r>
      <w:r>
        <w:t xml:space="preserve">the field-axis critical scale so that results reported through each can be reproduced</w:t>
      </w:r>
      <w:r>
        <w:t xml:space="preserve"> </w:t>
      </w:r>
      <w:r>
        <w:t xml:space="preserve">independently.</w:t>
      </w:r>
    </w:p>
    <w:p>
      <w:pPr>
        <w:pStyle w:val="BodyText"/>
      </w:pPr>
      <w:r>
        <w:rPr>
          <w:bCs/>
          <w:b/>
        </w:rPr>
        <w:t xml:space="preserve">Referee B</w:t>
      </w:r>
    </w:p>
    <w:p>
      <w:pPr>
        <w:pStyle w:val="BodyText"/>
      </w:pPr>
      <w:r>
        <w:rPr>
          <w:iCs/>
          <w:i/>
        </w:rPr>
        <w:t xml:space="preserve">Am I understanding correctly that the paper created 3 models, with model difference based on</w:t>
      </w:r>
      <w:r>
        <w:rPr>
          <w:iCs/>
          <w:i/>
        </w:rPr>
        <w:t xml:space="preserve"> </w:t>
      </w:r>
      <w:r>
        <w:rPr>
          <w:iCs/>
          <w:i/>
        </w:rPr>
        <w:t xml:space="preserve">what kind of information is allowed as input versus held constant?</w:t>
      </w:r>
    </w:p>
    <w:p>
      <w:pPr>
        <w:pStyle w:val="BodyText"/>
      </w:pPr>
      <w:r>
        <w:t xml:space="preserve">Not quite. The earlier text invited that reading, and we have corrected it. There is one</w:t>
      </w:r>
      <w:r>
        <w:t xml:space="preserve"> </w:t>
      </w:r>
      <w:r>
        <w:t xml:space="preserve">model and three prediction scopes over the same fitted exponents. Section II.D now carries a</w:t>
      </w:r>
      <w:r>
        <w:t xml:space="preserve"> </w:t>
      </w:r>
      <w:r>
        <w:t xml:space="preserve">short paragraph headed</w:t>
      </w:r>
      <w:r>
        <w:t xml:space="preserve"> </w:t>
      </w:r>
      <w:r>
        <w:rPr>
          <w:iCs/>
          <w:i/>
        </w:rPr>
        <w:t xml:space="preserve">Three scopes, not three models</w:t>
      </w:r>
      <w:r>
        <w:t xml:space="preserve"> </w:t>
      </w:r>
      <w:r>
        <w:t xml:space="preserve">which states this directly. Stage 1</w:t>
      </w:r>
      <w:r>
        <w:t xml:space="preserve"> </w:t>
      </w:r>
      <w:r>
        <w:t xml:space="preserve">regresses the exponent against a compositional descriptor and is used for rank signal and</w:t>
      </w:r>
      <w:r>
        <w:t xml:space="preserve"> </w:t>
      </w:r>
      <w:r>
        <w:t xml:space="preserve">substructure classification, not as a final predictor. Stage 2 uses the median exponent</w:t>
      </w:r>
      <w:r>
        <w:t xml:space="preserve"> </w:t>
      </w:r>
      <w:r>
        <w:t xml:space="preserve">within a cell defined by substructure and sample form, and is selected when the candidate’s</w:t>
      </w:r>
      <w:r>
        <w:t xml:space="preserve"> </w:t>
      </w:r>
      <w:r>
        <w:t xml:space="preserve">sample form is known and that cell is populated. Stage 3 uses the substructure-level median</w:t>
      </w:r>
      <w:r>
        <w:t xml:space="preserve"> </w:t>
      </w:r>
      <w:r>
        <w:t xml:space="preserve">with the within-family interquartile range retained as uncertainty, and is selected when the</w:t>
      </w:r>
      <w:r>
        <w:t xml:space="preserve"> </w:t>
      </w:r>
      <w:r>
        <w:t xml:space="preserve">sample form is unknown or the cell is too sparse. The variance-decomposition diagnostic</w:t>
      </w:r>
      <w:r>
        <w:t xml:space="preserve"> </w:t>
      </w:r>
      <w:r>
        <w:t xml:space="preserve">decides, family by family, whether Stage 2 is justified at all. What differs between the</w:t>
      </w:r>
      <w:r>
        <w:t xml:space="preserve"> </w:t>
      </w:r>
      <w:r>
        <w:t xml:space="preserve">three is the scope over which the same quantities are aggregated, not the class of model.</w:t>
      </w:r>
    </w:p>
    <w:p>
      <w:pPr>
        <w:pStyle w:val="BodyText"/>
      </w:pPr>
      <w:r>
        <w:rPr>
          <w:iCs/>
          <w:i/>
        </w:rPr>
        <w:t xml:space="preserve">What is the procedure for running inference on a compound that is not included in the</w:t>
      </w:r>
      <w:r>
        <w:rPr>
          <w:iCs/>
          <w:i/>
        </w:rPr>
        <w:t xml:space="preserve"> </w:t>
      </w:r>
      <w:r>
        <w:rPr>
          <w:iCs/>
          <w:i/>
        </w:rPr>
        <w:t xml:space="preserve">training set? Does one first select the appropriate substructure, identify which conditioning</w:t>
      </w:r>
      <w:r>
        <w:rPr>
          <w:iCs/>
          <w:i/>
        </w:rPr>
        <w:t xml:space="preserve"> </w:t>
      </w:r>
      <w:r>
        <w:rPr>
          <w:iCs/>
          <w:i/>
        </w:rPr>
        <w:t xml:space="preserve">variables must be defined, then run regression only if sufficient data are available for the</w:t>
      </w:r>
      <w:r>
        <w:rPr>
          <w:iCs/>
          <w:i/>
        </w:rPr>
        <w:t xml:space="preserve"> </w:t>
      </w:r>
      <w:r>
        <w:rPr>
          <w:iCs/>
          <w:i/>
        </w:rPr>
        <w:t xml:space="preserve">requested inference?</w:t>
      </w:r>
    </w:p>
    <w:p>
      <w:pPr>
        <w:pStyle w:val="BodyText"/>
      </w:pPr>
      <w:r>
        <w:t xml:space="preserve">The referee’s reconstruction is correct. We have written it out as a numbered procedure in</w:t>
      </w:r>
      <w:r>
        <w:t xml:space="preserve"> </w:t>
      </w:r>
      <w:r>
        <w:t xml:space="preserve">Section II.D so that a reader need not reconstruct it. For a candidate with no critical-current</w:t>
      </w:r>
      <w:r>
        <w:t xml:space="preserve"> </w:t>
      </w:r>
      <w:r>
        <w:t xml:space="preserve">measurements: assign the substructure family from stoichiometry and crystal system, refusing</w:t>
      </w:r>
      <w:r>
        <w:t xml:space="preserve"> </w:t>
      </w:r>
      <w:r>
        <w:t xml:space="preserve">if the family is unpopulated or the classification is ambiguous; obtain the transition</w:t>
      </w:r>
      <w:r>
        <w:t xml:space="preserve"> </w:t>
      </w:r>
      <w:r>
        <w:t xml:space="preserve">temperature anchor, and the critical field anchor if a field-axis prediction is requested,</w:t>
      </w:r>
      <w:r>
        <w:t xml:space="preserve"> </w:t>
      </w:r>
      <w:r>
        <w:t>refusing that target if the required anchor is unavailable; check that at least three anchor measurements are available for the candidate;</w:t>
      </w:r>
      <w:r/>
      <w:r>
        <w:t xml:space="preserve"> read the variance-decomposition regime for that</w:t>
      </w:r>
      <w:r>
        <w:t xml:space="preserve"> </w:t>
      </w:r>
      <w:r>
        <w:t xml:space="preserve">family to select Stage 2 or Stage 3; take the median parameters from the selected cell;</w:t>
      </w:r>
      <w:r>
        <w:t xml:space="preserve"> </w:t>
      </w:r>
      <w:r>
        <w:t xml:space="preserve">evaluate the expression at the requested temperature and field and propagate uncertainty by</w:t>
      </w:r>
      <w:r>
        <w:t xml:space="preserve"> </w:t>
      </w:r>
      <w:r>
        <w:t xml:space="preserve">quadrature over the three fitted terms; and apply the remaining gates, refusing with a reason code if any</w:t>
      </w:r>
      <w:r>
        <w:t xml:space="preserve"> </w:t>
      </w:r>
      <w:r>
        <w:t xml:space="preserve">fails. We close the procedure by noting that the parameter-taking and evaluation steps use</w:t>
      </w:r>
      <w:r>
        <w:t xml:space="preserve"> </w:t>
      </w:r>
      <w:r>
        <w:t xml:space="preserve">family-level quantities only, which is the structural fact underlying our decision to</w:t>
      </w:r>
      <w:r>
        <w:t xml:space="preserve"> </w:t>
      </w:r>
      <w:r>
        <w:t xml:space="preserve">withhold per-compound rankings.</w:t>
      </w:r>
    </w:p>
    <w:p>
      <w:pPr>
        <w:pStyle w:val="BodyText"/>
      </w:pPr>
      <w:r>
        <w:rPr>
          <w:iCs/>
          <w:i/>
        </w:rPr>
        <w:t xml:space="preserve">1. What regression model is used to connect composition descriptors to the scaling</w:t>
      </w:r>
      <w:r>
        <w:rPr>
          <w:iCs/>
          <w:i/>
        </w:rPr>
        <w:t xml:space="preserve"> </w:t>
      </w:r>
      <w:r>
        <w:rPr>
          <w:iCs/>
          <w:i/>
        </w:rPr>
        <w:t xml:space="preserve">exponents? Are these composition descriptors the Magpie Set?</w:t>
      </w:r>
    </w:p>
    <w:p>
      <w:pPr>
        <w:pStyle w:val="BodyText"/>
      </w:pPr>
      <w:r>
        <w:t xml:space="preserve">They are not the MAGPIE set. We now name the model rather than leaving it to be inferred. Section III.A states that the Stage 1 regression is a univariate ordinary least</w:t>
      </w:r>
      <w:r>
        <w:t xml:space="preserve"> </w:t>
      </w:r>
      <w:r>
        <w:t>squares fit on the mean maximum Pauling electronegativity, evaluated across seven substructure families with leave-one-substructure-out validation.</w:t>
      </w:r>
      <w:r/>
      <w:r>
        <w:t xml:space="preserve"> We also report the descriptor’s rank</w:t>
      </w:r>
      <w:r>
        <w:t xml:space="preserve"> </w:t>
      </w:r>
      <w:r>
        <w:t xml:space="preserve">correlation as a Spearman coefficient of 0.635 with a 95% confidence interval from 0.061 to</w:t>
      </w:r>
      <w:r>
        <w:t xml:space="preserve"> </w:t>
      </w:r>
      <w:r>
        <w:t xml:space="preserve">0.948, so that the reader can see how weak that signal is and why Stage 1 is retained for</w:t>
      </w:r>
      <w:r>
        <w:t xml:space="preserve"> </w:t>
      </w:r>
      <w:r>
        <w:t xml:space="preserve">ranking and classification rather than for magnitude.</w:t>
      </w:r>
    </w:p>
    <w:p>
      <w:pPr>
        <w:pStyle w:val="BodyText"/>
      </w:pPr>
      <w:r>
        <w:rPr>
          <w:iCs/>
          <w:i/>
        </w:rPr>
        <w:t xml:space="preserve">2. Do you mean the predicted temperature dependence of the log Jc?</w:t>
      </w:r>
    </w:p>
    <w:p>
      <w:pPr>
        <w:pStyle w:val="BodyText"/>
      </w:pPr>
      <w:r>
        <w:t xml:space="preserve">Yes. Corrected wherever the phrase appears.</w:t>
      </w:r>
    </w:p>
    <w:p>
      <w:pPr>
        <w:pStyle w:val="BodyText"/>
      </w:pPr>
      <w:r>
        <w:rPr>
          <w:iCs/>
          <w:i/>
        </w:rPr>
        <w:t xml:space="preserve">3. What are scaling exponents?</w:t>
      </w:r>
    </w:p>
    <w:p>
      <w:pPr>
        <w:pStyle w:val="BodyText"/>
      </w:pPr>
      <w:r>
        <w:t xml:space="preserve">Defined at first use in Section II.C, together with the intercept and the dex convention. A</w:t>
      </w:r>
      <w:r>
        <w:t xml:space="preserve"> </w:t>
      </w:r>
      <w:r>
        <w:t xml:space="preserve">scaling exponent is the fitted power to which the reduced distance from a critical scale is</w:t>
      </w:r>
      <w:r>
        <w:t xml:space="preserve"> </w:t>
      </w:r>
      <w:r>
        <w:t xml:space="preserve">raised, and it is dimensionless. The referee’s question also exposed a second problem, which we have now separated out. The manuscript previously used one symbol for the field exponent while the</w:t>
      </w:r>
      <w:r>
        <w:t xml:space="preserve"> </w:t>
      </w:r>
      <w:r>
        <w:t xml:space="preserve">analysis realized it against two different definitions of the critical scale. Section II.C now carries a paragraph headed</w:t>
      </w:r>
      <w:r>
        <w:t xml:space="preserve"> </w:t>
      </w:r>
      <w:r>
        <w:rPr>
          <w:iCs/>
          <w:i/>
        </w:rPr>
        <w:t xml:space="preserve">Two implementations of the field-axis critical</w:t>
      </w:r>
      <w:r>
        <w:rPr>
          <w:iCs/>
          <w:i/>
        </w:rPr>
        <w:t xml:space="preserve"> </w:t>
      </w:r>
      <w:r>
        <w:rPr>
          <w:iCs/>
          <w:i/>
        </w:rPr>
        <w:t xml:space="preserve">scale</w:t>
      </w:r>
      <w:r>
        <w:t>. The two are identical for the 61 of 159 fits that fall back to the literature default. For the 98 fits where a paper-derived value was resolved, that value is a median factor of 6.4 smaller.</w:t>
      </w:r>
      <w:r/>
      <w:r/>
      <w:r/>
      <w:r>
        <w:t xml:space="preserve"> Every result in Section III is labelled with the implementation that</w:t>
      </w:r>
      <w:r>
        <w:t xml:space="preserve"> </w:t>
      </w:r>
      <w:r>
        <w:t xml:space="preserve">produced it.</w:t>
      </w:r>
    </w:p>
    <w:p>
      <w:pPr>
        <w:pStyle w:val="BodyText"/>
      </w:pPr>
      <w:r>
        <w:rPr>
          <w:iCs/>
          <w:i/>
        </w:rPr>
        <w:t xml:space="preserve">4. Which expression are you referring to as Form 3? Is it Eq 1? If so, please be more</w:t>
      </w:r>
      <w:r>
        <w:rPr>
          <w:iCs/>
          <w:i/>
        </w:rPr>
        <w:t xml:space="preserve"> </w:t>
      </w:r>
      <w:r>
        <w:rPr>
          <w:iCs/>
          <w:i/>
        </w:rPr>
        <w:t xml:space="preserve">specific.</w:t>
      </w:r>
    </w:p>
    <w:p>
      <w:pPr>
        <w:pStyle w:val="BodyText"/>
      </w:pPr>
      <w:r>
        <w:t xml:space="preserve">It is, and it is now labelled at the equation rather than named in passing. Section</w:t>
      </w:r>
      <w:r>
        <w:t xml:space="preserve"> </w:t>
      </w:r>
      <w:r>
        <w:t xml:space="preserve">II.C introduces the per-axis expression as Form 3 at the point where it is displayed, writes</w:t>
      </w:r>
      <w:r>
        <w:t xml:space="preserve"> </w:t>
      </w:r>
      <w:r>
        <w:t xml:space="preserve">all three candidate forms explicitly as Eqs. (5), (6) and (7) so the comparison can be read</w:t>
      </w:r>
      <w:r>
        <w:t xml:space="preserve"> </w:t>
      </w:r>
      <w:r>
        <w:t xml:space="preserve">directly, and gives their holdout comparison in Table II. The temperature independence of the</w:t>
      </w:r>
      <w:r>
        <w:t xml:space="preserve"> </w:t>
      </w:r>
      <w:r>
        <w:t xml:space="preserve">field scale in Form 3 is stated there as a design choice, with the alternative that carries</w:t>
      </w:r>
      <w:r>
        <w:t xml:space="preserve"> </w:t>
      </w:r>
      <w:r>
        <w:t xml:space="preserve">an explicit temperature-dependent critical field shown alongside it.</w:t>
      </w:r>
    </w:p>
    <w:p>
      <w:pPr>
        <w:pStyle w:val="BodyText"/>
      </w:pPr>
      <w:r>
        <w:rPr>
          <w:iCs/>
          <w:i/>
        </w:rPr>
        <w:t xml:space="preserve">5. There is no connection between Input and Predictor if you follow the arrows. Could you</w:t>
      </w:r>
      <w:r>
        <w:rPr>
          <w:iCs/>
          <w:i/>
        </w:rPr>
        <w:t xml:space="preserve"> </w:t>
      </w:r>
      <w:r>
        <w:rPr>
          <w:iCs/>
          <w:i/>
        </w:rPr>
        <w:t xml:space="preserve">denote the information below between these steps visually? Ideally the arrows would include</w:t>
      </w:r>
      <w:r>
        <w:rPr>
          <w:iCs/>
          <w:i/>
        </w:rPr>
        <w:t xml:space="preserve"> </w:t>
      </w:r>
      <w:r>
        <w:rPr>
          <w:iCs/>
          <w:i/>
        </w:rPr>
        <w:t xml:space="preserve">what information is being passed.</w:t>
      </w:r>
    </w:p>
    <w:p>
      <w:pPr>
        <w:pStyle w:val="BodyText"/>
      </w:pPr>
      <w:r>
        <w:t xml:space="preserve">Accepted. Following the referee’s arrows showed that a stage was missing from the</w:t>
      </w:r>
      <w:r>
        <w:t xml:space="preserve"> </w:t>
      </w:r>
      <w:r>
        <w:t xml:space="preserve">architecture, not only a line. Between extraction and fitting the workflow resolves the</w:t>
      </w:r>
      <w:r>
        <w:t xml:space="preserve"> </w:t>
      </w:r>
      <w:r>
        <w:t xml:space="preserve">transition temperature and the critical field for each fitted curve, and that stage was not</w:t>
      </w:r>
      <w:r>
        <w:t xml:space="preserve"> </w:t>
      </w:r>
      <w:r>
        <w:t xml:space="preserve">shown at all. It is where the defects reported below occur. The runtime workflow is now six</w:t>
      </w:r>
      <w:r>
        <w:t xml:space="preserve"> </w:t>
      </w:r>
      <w:r>
        <w:t xml:space="preserve">stages rather than five, the critical-scale resolution stage is shown explicitly with its</w:t>
      </w:r>
      <w:r>
        <w:t xml:space="preserve"> </w:t>
      </w:r>
      <w:r>
        <w:t xml:space="preserve">provenance tiers, and the caption specifies labelled arrows carrying the information passed</w:t>
      </w:r>
      <w:r>
        <w:t xml:space="preserve"> </w:t>
      </w:r>
      <w:r>
        <w:t xml:space="preserve">between stages. The figure has been redrawn to that specification. It is now a vertical six-stage flow in</w:t>
      </w:r>
      <w:r>
        <w:t xml:space="preserve"> </w:t>
      </w:r>
      <w:r>
        <w:t xml:space="preserve">which every arrow is labelled with what it carries, and the critical-scale resolution stage</w:t>
      </w:r>
      <w:r>
        <w:t xml:space="preserve"> </w:t>
      </w:r>
      <w:r>
        <w:t xml:space="preserve">is highlighted. The refusal branch leaves the dispatch stage explicitly, so that refusal</w:t>
      </w:r>
      <w:r>
        <w:t xml:space="preserve"> </w:t>
      </w:r>
      <w:r>
        <w:t xml:space="preserve">reads as an output of the predictor rather than as an omission.</w:t>
      </w:r>
    </w:p>
    <w:p>
      <w:pPr>
        <w:pStyle w:val="BodyText"/>
      </w:pPr>
      <w:r>
        <w:rPr>
          <w:iCs/>
          <w:i/>
        </w:rPr>
        <w:t xml:space="preserve">6. Please enumerate the 4 assumptions.</w:t>
      </w:r>
    </w:p>
    <w:p>
      <w:pPr>
        <w:pStyle w:val="BodyText"/>
      </w:pPr>
      <w:r>
        <w:t xml:space="preserve">Section III.F is now organized as four numbered assumptions followed by a data-layer finding.</w:t>
      </w:r>
      <w:r>
        <w:t xml:space="preserve"> </w:t>
      </w:r>
      <w:r>
        <w:t xml:space="preserve">Assumption 1 is the per-axis power-law form, and it states explicitly that the field term</w:t>
      </w:r>
      <w:r>
        <w:t xml:space="preserve"> </w:t>
      </w:r>
      <w:r>
        <w:t xml:space="preserve">uses a temperature-independent critical field, which is the point Referee A raised.</w:t>
      </w:r>
      <w:r>
        <w:t xml:space="preserve"> </w:t>
      </w:r>
      <w:r>
        <w:t xml:space="preserve">Assumption 2 is that each family carries a single dominant mechanism class. Assumption 3 is</w:t>
      </w:r>
      <w:r>
        <w:t xml:space="preserve"> </w:t>
      </w:r>
      <w:r>
        <w:t xml:space="preserve">the critical field layer and what the corpus can supply. Assumption 4 is that the inferential</w:t>
      </w:r>
      <w:r>
        <w:t xml:space="preserve"> </w:t>
      </w:r>
      <w:r>
        <w:t xml:space="preserve">scope is the family and not the compound.</w:t>
      </w:r>
    </w:p>
    <w:p>
      <w:pPr>
        <w:pStyle w:val="BodyText"/>
      </w:pPr>
      <w:r>
        <w:rPr>
          <w:bCs/>
          <w:b/>
        </w:rPr>
        <w:t xml:space="preserve">Changes we made on our own</w:t>
      </w:r>
    </w:p>
    <w:p>
      <w:pPr>
        <w:pStyle w:val="BodyText"/>
      </w:pPr>
      <w:r>
        <w:t xml:space="preserve">We report these because they matter to the results, and because a referee would reasonably</w:t>
      </w:r>
      <w:r>
        <w:t xml:space="preserve"> </w:t>
      </w:r>
      <w:r>
        <w:t xml:space="preserve">ask why several numbers have moved.</w:t>
      </w:r>
    </w:p>
    <w:p>
      <w:pPr>
        <w:pStyle w:val="BodyText"/>
      </w:pPr>
      <w:r>
        <w:t xml:space="preserve">Tracing Referee A’s two observations led to a retrospective audit of the critical field</w:t>
      </w:r>
      <w:r>
        <w:t xml:space="preserve"> </w:t>
      </w:r>
      <w:r>
        <w:t xml:space="preserve">scale, reported in Section III.F of the main text and in Section 13 of the Supplemental</w:t>
      </w:r>
      <w:r>
        <w:t xml:space="preserve"> </w:t>
      </w:r>
      <w:r>
        <w:t xml:space="preserve">Material. Sixteen papers from the field-axis cohort were read independently by two</w:t>
      </w:r>
      <w:r>
        <w:t xml:space="preserve"> </w:t>
      </w:r>
      <w:r>
        <w:t xml:space="preserve">vision-language models of a later generation than the pair used for extraction, each prompted</w:t>
      </w:r>
      <w:r>
        <w:t xml:space="preserve"> </w:t>
      </w:r>
      <w:r>
        <w:t xml:space="preserve">separately and each told that</w:t>
      </w:r>
      <w:r>
        <w:t xml:space="preserve"> </w:t>
      </w:r>
      <w:r>
        <w:t xml:space="preserve">“</w:t>
      </w:r>
      <w:r>
        <w:t xml:space="preserve">no such data in this paper</w:t>
      </w:r>
      <w:r>
        <w:t xml:space="preserve">”</w:t>
      </w:r>
      <w:r>
        <w:t xml:space="preserve"> </w:t>
      </w:r>
      <w:r>
        <w:t xml:space="preserve">is a correct answer. For eight of the sixteen, both models</w:t>
      </w:r>
      <w:r>
        <w:t xml:space="preserve"> </w:t>
      </w:r>
      <w:r>
        <w:t xml:space="preserve">reported that the paper contains no plot of critical field against temperature, while the</w:t>
      </w:r>
      <w:r>
        <w:t xml:space="preserve"> </w:t>
      </w:r>
      <w:r>
        <w:t xml:space="preserve">pipeline held extracted values for all eight, in each case from a figure showing something</w:t>
      </w:r>
      <w:r>
        <w:t xml:space="preserve"> </w:t>
      </w:r>
      <w:r>
        <w:t xml:space="preserve">else. Across the cohort the assigned scale barely exceeds the largest field actually measured on</w:t>
      </w:r>
      <w:r>
        <w:t xml:space="preserve"> </w:t>
      </w:r>
      <w:r>
        <w:t>the curve it anchors. The median ratio of measured maximum to assigned scale is 0.88, and 11 of the 52 curves admitted by the stated fitting protocol sit above 0.9. On the cohort as published the same rule gave 0.80 and 15 of 94, so the exposure rises rather than falls once the anchors are repaired.</w:t>
      </w:r>
      <w:r/>
      <w:r>
        <w:t xml:space="preserve"> That is how a scale read from a curve endpoint behaves, not how</w:t>
      </w:r>
      <w:r>
        <w:t xml:space="preserve"> </w:t>
      </w:r>
      <w:r>
        <w:t xml:space="preserve">an independently measured critical field behaves. Two further defects compound this. The resolution routine returned the nearest series</w:t>
      </w:r>
      <w:r>
        <w:t xml:space="preserve"> </w:t>
      </w:r>
      <w:r>
        <w:t>endpoint rather than extrapolating, which underestimates the scale by a median factor of 6.7 across the 38 fits it affects.</w:t>
      </w:r>
      <w:r/>
      <w:r>
        <w:t xml:space="preserve"> And five papers carried a magnetic field unit error in which</w:t>
      </w:r>
      <w:r>
        <w:t xml:space="preserve"> </w:t>
      </w:r>
      <w:r>
        <w:t xml:space="preserve">kilo-oersted had been recorded as tesla, since corrected in the deposited data.</w:t>
      </w:r>
    </w:p>
    <w:p>
      <w:pPr>
        <w:pStyle w:val="BodyText"/>
      </w:pPr>
      <w:r>
        <w:t xml:space="preserve">We attempted a rebuild against a properly temperature-resolved critical scale and could not</w:t>
      </w:r>
      <w:r>
        <w:t xml:space="preserve"> </w:t>
      </w:r>
      <w:r>
        <w:t>complete it. The reason lies in the literature rather than in our pipeline. A caption-scoped screen over the 2594 papers in the archive finds 137 carrying captions for both measurements</w:t>
      </w:r>
      <w:r/>
      <w:r/>
      <w:r/>
      <w:r>
        <w:t>, 117 of them in the three dispatched families. Whether a candidate is usable</w:t>
      </w:r>
      <w:r>
        <w:t xml:space="preserve"> </w:t>
      </w:r>
      <w:r>
        <w:t xml:space="preserve">turns on its measured field span, which can only be settled by reading the numbers, so 29</w:t>
      </w:r>
      <w:r>
        <w:t xml:space="preserve"> </w:t>
      </w:r>
      <w:r>
        <w:t xml:space="preserve">candidates prioritized by family need were read independently by two models and span-tested. Four</w:t>
      </w:r>
      <w:r>
        <w:t xml:space="preserve"> </w:t>
      </w:r>
      <w:r>
        <w:t xml:space="preserve">MgB2-class and two iron chalcogenide papers pass, one of the latter borderline, and no iron</w:t>
      </w:r>
      <w:r>
        <w:t xml:space="preserve"> </w:t>
      </w:r>
      <w:r>
        <w:t xml:space="preserve">pnictide 122-type paper passes, in every case because the paper reports no critical field of its</w:t>
      </w:r>
      <w:r>
        <w:t xml:space="preserve"> </w:t>
      </w:r>
      <w:r>
        <w:t xml:space="preserve">own. Only MgB2-class clears the three-paper threshold set before the search, and iron pnictide 122-type, the family that needed the evidence most, yielded nothing. Plainly, the literature we could reach does not supply the pairing we need. It does not show</w:t>
      </w:r>
      <w:r>
        <w:t xml:space="preserve"> </w:t>
      </w:r>
      <w:r>
        <w:t xml:space="preserve">that the remaining candidates contain none, and the deposited screen lists every candidate so</w:t>
      </w:r>
      <w:r>
        <w:t xml:space="preserve"> </w:t>
      </w:r>
      <w:r>
        <w:t xml:space="preserve">that the search can be continued rather than repeated. Requiring a shared compound and shared</w:t>
      </w:r>
      <w:r>
        <w:t xml:space="preserve"> </w:t>
      </w:r>
      <w:r>
        <w:t xml:space="preserve">authorship, cross-paper pairing of a critical-current paper with a separate critical-field</w:t>
      </w:r>
      <w:r>
        <w:t xml:space="preserve"> </w:t>
      </w:r>
      <w:r>
        <w:t xml:space="preserve">paper returns no valid pairs. We report this as a finding rather than an obstacle. It is the same comparability principle</w:t>
      </w:r>
      <w:r>
        <w:t xml:space="preserve"> </w:t>
      </w:r>
      <w:r>
        <w:t xml:space="preserve">the paper argues for, applied one level down.</w:t>
      </w:r>
    </w:p>
    <w:p>
      <w:pPr>
        <w:pStyle w:val="BodyText"/>
      </w:pPr>
      <w:r>
        <w:t>A further audit of the anchors and the fitting protocol</w:t>
      </w:r>
      <w:r/>
      <w:r/>
      <w:r/>
      <w:r/>
      <w:r/>
      <w:r/>
      <w:r/>
      <w:r/>
      <w:r/>
      <w:r/>
      <w:r/>
      <w:r/>
      <w:r/>
      <w:r/>
      <w:r/>
      <w:r/>
      <w:r/>
      <w:r/>
      <w:r/>
      <w:r/>
      <w:r/>
      <w:r/>
      <w:r/>
      <w:r/>
      <w:r/>
      <w:r/>
    </w:p>
    <w:p>
      <w:pPr>
        <w:pStyle w:val="BodyText"/>
      </w:pPr>
      <w:r>
        <w:t>The audit of the critical-field scale described above did not stop where we first reported it. Continuing it turned up four further defects, three of them in places we had not looked. We report all four, and what they do to the results.</w:t>
      </w:r>
      <w:r/>
      <w:r/>
      <w:r/>
      <w:r/>
      <w:r/>
      <w:r/>
      <w:r/>
      <w:r/>
      <w:r/>
      <w:r/>
      <w:r/>
      <w:r/>
      <w:r/>
      <w:r/>
      <w:r/>
      <w:r/>
      <w:r/>
      <w:r/>
      <w:r/>
      <w:r/>
      <w:r/>
      <w:r/>
      <w:r/>
      <w:r/>
      <w:r/>
      <w:r/>
    </w:p>
    <w:p>
      <w:pPr>
        <w:pStyle w:val="BodyText"/>
      </w:pPr>
      <w:r>
        <w:t>Eleven papers were withdrawn and one table was not updated. Between 1 and 3 September we withdrew eleven papers from the temperature-axis cohort after opening their figures. The defects were not marginal. Three record a current axis in A/m2 as A/cm2, which puts the values above the depairing limit. Two record the minor ticks of a logarithmic field axis as field values, so the field range is a few gauss. Six carry isotherms that are exact arithmetic ramps, in one case with successive isotherms separated by the same constant step, which no measurement produces. One interleaves two series three orders of magnitude apart inside a single isotherm. Each withdrawal is recorded with its citation, the figure checked, and the reason.</w:t>
      </w:r>
      <w:r/>
      <w:r/>
      <w:r/>
      <w:r/>
      <w:r/>
      <w:r/>
      <w:r/>
      <w:r/>
      <w:r/>
      <w:r/>
      <w:r/>
      <w:r/>
      <w:r/>
      <w:r/>
      <w:r/>
      <w:r/>
      <w:r/>
      <w:r/>
      <w:r/>
      <w:r/>
      <w:r/>
      <w:r/>
      <w:r/>
      <w:r/>
      <w:r/>
      <w:r/>
    </w:p>
    <w:p>
      <w:pPr>
        <w:pStyle w:val="BodyText"/>
      </w:pPr>
      <w:r>
        <w:t>The temperature-axis fit count in Table I reflects those withdrawals. The provenance table does not, because withdrawing a paper never removed its provenance row, and three of Table I's counts are computed from that table. The result is that Table I is internally inconsistent: its 260 temperature-axis fits exclude the withdrawn papers and its 62 contributing papers include them. The corrected counts are 50 papers, 35 compounds and 3303 extracted points. The extracted-point count was overstated by 843, a fifth of the figure we printed.</w:t>
      </w:r>
      <w:r/>
      <w:r/>
      <w:r/>
      <w:r/>
      <w:r/>
      <w:r/>
      <w:r/>
      <w:r/>
      <w:r/>
      <w:r/>
      <w:r/>
      <w:r/>
      <w:r/>
      <w:r/>
      <w:r/>
      <w:r/>
      <w:r/>
      <w:r/>
      <w:r/>
      <w:r/>
      <w:r/>
      <w:r/>
      <w:r/>
      <w:r/>
      <w:r/>
      <w:r/>
    </w:p>
    <w:p>
      <w:pPr>
        <w:pStyle w:val="BodyText"/>
      </w:pPr>
      <w:r>
        <w:t>The critical-temperature anchor is a lookup table, not a paper-reported value. We described the critical-field scale as read from figures. The critical-temperature scale is not read at all. The routine that fits the temperature-axis exponent carries a dictionary keyed on the idealised compound string, with per-substructure defaults for anything absent from it, so every Ba(FeAs)2 record takes 38.0 K and every unlisted 1111 record takes 50.0 K. The deposit labels these values paper-reported.</w:t>
      </w:r>
      <w:r/>
      <w:r/>
      <w:r/>
      <w:r/>
      <w:r/>
      <w:r/>
      <w:r/>
      <w:r/>
      <w:r/>
      <w:r/>
      <w:r/>
      <w:r/>
      <w:r/>
      <w:r/>
      <w:r/>
      <w:r/>
      <w:r/>
      <w:r/>
      <w:r/>
      <w:r/>
      <w:r/>
      <w:r/>
      <w:r/>
      <w:r/>
      <w:r/>
      <w:r/>
    </w:p>
    <w:p>
      <w:pPr>
        <w:pStyle w:val="BodyText"/>
      </w:pPr>
      <w:r>
        <w:t>Opening the papers, six of the eighteen on the temperature axis are wrong by 5 K or more against the value the paper prints for the sample whose figure was extracted, the largest by 25.9 K. On the field-axis cohort, of the nineteen papers whose source document we hold, three anchors match what their paper prints, three match one of several samples, eight disagree with every printed value, two papers print no critical temperature for the sample they measure, and three cannot be checked. Four of the eight disagreements are a literature value for the family rather than for the sample.</w:t>
      </w:r>
      <w:r/>
      <w:r/>
      <w:r/>
      <w:r/>
      <w:r/>
      <w:r/>
      <w:r/>
      <w:r/>
      <w:r/>
      <w:r/>
      <w:r/>
      <w:r/>
      <w:r/>
      <w:r/>
      <w:r/>
      <w:r/>
      <w:r/>
      <w:r/>
      <w:r/>
      <w:r/>
      <w:r/>
      <w:r/>
      <w:r/>
      <w:r/>
      <w:r/>
      <w:r/>
    </w:p>
    <w:p>
      <w:pPr>
        <w:pStyle w:val="BodyText"/>
      </w:pPr>
      <w:r>
        <w:t>We have replaced every anchor we could check with the value the paper prints, with the sentence quoted in the deposit for each. On the temperature axis this costs no fits and adds points to 39 of them, because three papers had a lower anchor than their true one.</w:t>
      </w:r>
      <w:r/>
      <w:r/>
      <w:r/>
      <w:r/>
      <w:r/>
      <w:r/>
      <w:r/>
      <w:r/>
      <w:r/>
      <w:r/>
      <w:r/>
      <w:r/>
      <w:r/>
      <w:r/>
      <w:r/>
      <w:r/>
      <w:r/>
      <w:r/>
      <w:r/>
      <w:r/>
      <w:r/>
      <w:r/>
      <w:r/>
      <w:r/>
      <w:r/>
      <w:r/>
    </w:p>
    <w:p>
      <w:pPr>
        <w:pStyle w:val="BodyText"/>
      </w:pPr>
      <w:r>
        <w:t>The applicability window was applied to one axis and not the other. The window we state has two conditions, a reduced temperature below 0.7 and a measured field span above 0.3 of the critical field. The temperature condition is imposed on the temperature axis, by cutting the fit window against the anchor, and it was not imposed on the field-axis cohort at all. Nineteen of the 94 field-axis fits sat above the stated bound, the highest at 0.955. It is now applied to both.</w:t>
      </w:r>
      <w:r/>
      <w:r/>
      <w:r/>
      <w:r/>
      <w:r/>
      <w:r/>
      <w:r/>
      <w:r/>
      <w:r/>
      <w:r/>
      <w:r/>
      <w:r/>
      <w:r/>
      <w:r/>
      <w:r/>
      <w:r/>
      <w:r/>
      <w:r/>
      <w:r/>
      <w:r/>
      <w:r/>
      <w:r/>
      <w:r/>
      <w:r/>
      <w:r/>
      <w:r/>
    </w:p>
    <w:p>
      <w:pPr>
        <w:pStyle w:val="BodyText"/>
      </w:pPr>
      <w:r>
        <w:t>The field condition contains nothing independent of its own scale. The condition compares the measured span with the critical field, and the same critical field selects the points the fit uses and forms the abscissa the exponent is fitted against. Written out, the condition says that the critical field is at most 3.3 times the measured span, and nothing about the sample enters it. It is satisfied by a small scale, which is the direction in which a scale read from a curve endpoint is wrong. We considered replacing it with a condition on the range of the abscissa, and did not, because that quantity is gamed by the same choice of scale: on our own cohort every fit that fails it passes on unchanged data at a smaller scale. There is no scale-free criterion available here, and we now state the condition for what it is rather than implying it tests the data.</w:t>
      </w:r>
      <w:r/>
      <w:r/>
      <w:r/>
      <w:r/>
      <w:r/>
      <w:r/>
      <w:r/>
      <w:r/>
      <w:r/>
      <w:r/>
      <w:r/>
      <w:r/>
      <w:r/>
      <w:r/>
      <w:r/>
      <w:r/>
      <w:r/>
      <w:r/>
      <w:r/>
      <w:r/>
      <w:r/>
      <w:r/>
      <w:r/>
      <w:r/>
      <w:r/>
      <w:r/>
    </w:p>
    <w:p>
      <w:pPr>
        <w:pStyle w:val="BodyText"/>
      </w:pPr>
      <w:r>
        <w:t>The extracted curves carry less structure than the figures they come from. For eight papers we hold both an extraction and an independent pixel trace of the same printed figure. Put on the same isotherms, the same field window and the same code, the extraction carries four to twenty times less interaction between the temperature and field dependences than the figure does, in eight of the nine comparisons. The ninth is the one extraction in that set digitised by hand, and it carries slightly more. Measured against the precision each source is written at, eight of the extracted surfaces are as close to a product of one temperature curve and one field curve as their recorded precision can show, and no traced figure is.</w:t>
      </w:r>
      <w:r/>
      <w:r/>
      <w:r/>
      <w:r/>
      <w:r/>
      <w:r/>
      <w:r/>
      <w:r/>
      <w:r/>
      <w:r/>
      <w:r/>
      <w:r/>
      <w:r/>
      <w:r/>
      <w:r/>
      <w:r/>
      <w:r/>
      <w:r/>
      <w:r/>
      <w:r/>
      <w:r/>
      <w:r/>
      <w:r/>
      <w:r/>
      <w:r/>
      <w:r/>
    </w:p>
    <w:p>
      <w:pPr>
        <w:pStyle w:val="BodyText"/>
      </w:pPr>
      <w:r>
        <w:t>This matters for the exponent that the field axis reports. Fitted on a surface with no interaction, the field exponent returns the field curve that was swept rather than a property of the sample. It is consistent with the fact that the extraction route predicts that exponent completely: hand digitisations give 0.003 to 0.023 and machine extractions 0.120 to 2.409, with no overlap.</w:t>
      </w:r>
      <w:r/>
      <w:r/>
      <w:r/>
      <w:r/>
      <w:r/>
      <w:r/>
      <w:r/>
      <w:r/>
      <w:r/>
      <w:r/>
      <w:r/>
      <w:r/>
      <w:r/>
      <w:r/>
      <w:r/>
      <w:r/>
      <w:r/>
      <w:r/>
      <w:r/>
      <w:r/>
      <w:r/>
      <w:r/>
      <w:r/>
      <w:r/>
      <w:r/>
      <w:r/>
    </w:p>
    <w:p>
      <w:pPr>
        <w:pStyle w:val="BodyText"/>
      </w:pPr>
      <w:r>
        <w:t>What this does to the results</w:t>
      </w:r>
      <w:r/>
      <w:r/>
      <w:r/>
      <w:r/>
      <w:r/>
      <w:r/>
      <w:r/>
      <w:r/>
      <w:r/>
      <w:r/>
      <w:r/>
      <w:r/>
      <w:r/>
      <w:r/>
      <w:r/>
      <w:r/>
      <w:r/>
      <w:r/>
      <w:r/>
      <w:r/>
      <w:r/>
      <w:r/>
      <w:r/>
      <w:r/>
      <w:r/>
      <w:r/>
    </w:p>
    <w:p>
      <w:pPr>
        <w:pStyle w:val="BodyText"/>
      </w:pPr>
      <w:r>
        <w:t>We tested the substructure separation again with papers as the unit and a permutation test over the family labels, which needs no distributional assumption and is unchanged by a rescaling of the exponents.</w:t>
      </w:r>
      <w:r/>
      <w:r/>
      <w:r/>
      <w:r/>
      <w:r/>
      <w:r/>
      <w:r/>
      <w:r/>
      <w:r/>
      <w:r/>
      <w:r/>
      <w:r/>
      <w:r/>
      <w:r/>
      <w:r/>
      <w:r/>
      <w:r/>
      <w:r/>
      <w:r/>
      <w:r/>
      <w:r/>
      <w:r/>
      <w:r/>
      <w:r/>
      <w:r/>
      <w:r/>
    </w:p>
    <w:p>
      <w:pPr>
        <w:pStyle w:val="BodyText"/>
      </w:pPr>
      <w:r>
        <w:t>On the temperature axis the families separate, and correcting the anchors makes the separation stronger. Matched on the seventeen papers common to both versions, the fraction of between-paper variance the family accounts for rises from 0.44 to 0.52, with a permutation probability falling from 0.016 to 0.007.</w:t>
      </w:r>
      <w:r/>
      <w:r/>
      <w:r/>
      <w:r/>
      <w:r/>
      <w:r/>
      <w:r/>
      <w:r/>
      <w:r/>
      <w:r/>
      <w:r/>
      <w:r/>
      <w:r/>
      <w:r/>
      <w:r/>
      <w:r/>
      <w:r/>
      <w:r/>
      <w:r/>
      <w:r/>
      <w:r/>
      <w:r/>
      <w:r/>
      <w:r/>
      <w:r/>
      <w:r/>
    </w:p>
    <w:p>
      <w:pPr>
        <w:pStyle w:val="BodyText"/>
      </w:pPr>
      <w:r>
        <w:t>On the field axis the families do not separate, under either version. The fraction is 0.055 before the repair and 0.038 after, with permutation probabilities of 0.93 and 0.98. This is not a result the repair removes. It was not present in the data as deposited either, and we had not tested it with a statistic that could have shown so.</w:t>
      </w:r>
      <w:r/>
      <w:r/>
      <w:r/>
      <w:r/>
      <w:r/>
      <w:r/>
      <w:r/>
      <w:r/>
      <w:r/>
      <w:r/>
      <w:r/>
      <w:r/>
      <w:r/>
      <w:r/>
      <w:r/>
      <w:r/>
      <w:r/>
      <w:r/>
      <w:r/>
      <w:r/>
      <w:r/>
      <w:r/>
      <w:r/>
      <w:r/>
      <w:r/>
      <w:r/>
    </w:p>
    <w:p>
      <w:pPr>
        <w:pStyle w:val="BodyText"/>
      </w:pPr>
      <w:r>
        <w:t>We therefore state the substructure result as a temperature-axis result, and we report the field axis as not separating the families rather than omitting it.</w:t>
      </w:r>
      <w:r/>
      <w:r/>
      <w:r/>
      <w:r/>
      <w:r/>
      <w:r/>
      <w:r/>
      <w:r/>
      <w:r/>
      <w:r/>
      <w:r/>
      <w:r/>
      <w:r/>
      <w:r/>
      <w:r/>
      <w:r/>
      <w:r/>
      <w:r/>
      <w:r/>
      <w:r/>
      <w:r/>
      <w:r/>
      <w:r/>
      <w:r/>
      <w:r/>
      <w:r/>
    </w:p>
    <w:p>
      <w:pPr>
        <w:pStyle w:val="BodyText"/>
      </w:pPr>
      <w:r>
        <w:t>What we now report</w:t>
      </w:r>
      <w:r/>
      <w:r/>
      <w:r/>
      <w:r/>
      <w:r/>
      <w:r/>
      <w:r/>
      <w:r/>
      <w:r/>
      <w:r/>
      <w:r/>
      <w:r/>
      <w:r/>
      <w:r/>
      <w:r/>
      <w:r/>
      <w:r/>
      <w:r/>
      <w:r/>
      <w:r/>
      <w:r/>
      <w:r/>
      <w:r/>
      <w:r/>
      <w:r/>
      <w:r/>
    </w:p>
    <w:p>
      <w:pPr>
        <w:pStyle w:val="BodyText"/>
      </w:pPr>
      <w:r>
        <w:t>Table I is restated on the repaired cohort: 50 contributing papers, 35 compounds, 3303 extracted points, 257 temperature-axis fits, and 52 field-axis fits from 12 source papers. The anchor count behind Figure 3 and the candidate compound count do not move, because no withdrawn paper appears in the anchor table and the candidate side does not depend on the anchors.</w:t>
      </w:r>
      <w:r/>
      <w:r/>
      <w:r/>
      <w:r/>
      <w:r/>
      <w:r/>
      <w:r/>
      <w:r/>
      <w:r/>
      <w:r/>
      <w:r/>
      <w:r/>
      <w:r/>
      <w:r/>
      <w:r/>
      <w:r/>
      <w:r/>
      <w:r/>
      <w:r/>
      <w:r/>
      <w:r/>
      <w:r/>
      <w:r/>
      <w:r/>
      <w:r/>
      <w:r/>
    </w:p>
    <w:p>
      <w:pPr>
        <w:pStyle w:val="BodyText"/>
      </w:pPr>
      <w:r>
        <w:t>The field-axis cohort falls from 94 fits to 52. Because that is a large change, the Supplemental Material now carries the disposition of all 94 individually: 52 kept, 24 on the three papers whose anchors we withdrew, 11 above the reduced temperature bound once the anchor is corrected, and 7 below the field bound once the scale is corrected. The deposited cohort remains in the deposit, so a reader can reproduce either version.</w:t>
      </w:r>
      <w:r/>
      <w:r/>
      <w:r/>
      <w:r/>
      <w:r/>
      <w:r/>
      <w:r/>
      <w:r/>
      <w:r/>
      <w:r/>
      <w:r/>
      <w:r/>
      <w:r/>
      <w:r/>
      <w:r/>
      <w:r/>
      <w:r/>
      <w:r/>
      <w:r/>
      <w:r/>
      <w:r/>
      <w:r/>
      <w:r/>
      <w:r/>
      <w:r/>
      <w:r/>
    </w:p>
    <w:p>
      <w:pPr>
        <w:pStyle w:val="BodyText"/>
      </w:pPr>
      <w:r>
        <w:t xml:space="preserve">Several values have been corrected as a result. The MgB2-class compound leave-one-out error</w:t>
      </w:r>
      <w:r>
        <w:t xml:space="preserve"> </w:t>
      </w:r>
      <w:r>
        <w:t xml:space="preserve">is 0.753 rather than 0.772. The universal scaling reduction is 13.0% on the</w:t>
      </w:r>
      <w:r>
        <w:t xml:space="preserve"> </w:t>
      </w:r>
      <w:r>
        <w:t>standard-deviation scale rather than 14.1%. The candidate cohort comprises 183 distinct compounds, and the 233 evaluated records and 212 retained after the calibration screen are record counts in which one compound may appear more than once.</w:t>
      </w:r>
      <w:r/>
      <w:r/>
      <w:r/>
      <w:r>
        <w:t xml:space="preserve"> An artificial intelligence use disclosure has been added in</w:t>
      </w:r>
      <w:r>
        <w:t xml:space="preserve"> </w:t>
      </w:r>
      <w:r>
        <w:t xml:space="preserve">accordance with APS policy, naming the models used at each stage, how they were directed,</w:t>
      </w:r>
      <w:r>
        <w:t xml:space="preserve"> </w:t>
      </w:r>
      <w:r>
        <w:t xml:space="preserve">and how their output was verified, including the cross-model agreement gate that produced</w:t>
      </w:r>
      <w:r>
        <w:t xml:space="preserve"> </w:t>
      </w:r>
      <w:r>
        <w:t xml:space="preserve">the audit above.</w:t>
      </w:r>
    </w:p>
    <w:p>
      <w:pPr>
        <w:pStyle w:val="BodyText"/>
      </w:pPr>
      <w:r>
        <w:t xml:space="preserve">We thank both referees again for the care they gave this manuscript. The paper is narrower</w:t>
      </w:r>
      <w:r>
        <w:t xml:space="preserve"> </w:t>
      </w:r>
      <w:r>
        <w:t xml:space="preserve">than the version they read, and we believe it is the better for it.</w:t>
      </w:r>
    </w:p>
    <w:p>
      <w:pPr>
        <w:pStyle w:val="BodyText"/>
      </w:pPr>
      <w:r>
        <w:t xml:space="preserve">Sincerely,</w:t>
      </w:r>
    </w:p>
    <w:p>
      <w:pPr>
        <w:pStyle w:val="BodyText"/>
      </w:pPr>
      <w:r>
        <w:t xml:space="preserve">The Authors</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2026-08-26T14:22:25Z</dcterms:created>
  <dcterms:modified xsi:type="dcterms:W3CDTF">2026-08-26T14:22:25Z</dcterms:modified>
</cp:coreProperties>
</file>

<file path=docProps/custom.xml><?xml version="1.0" encoding="utf-8"?>
<Properties xmlns="http://schemas.openxmlformats.org/officeDocument/2006/custom-properties" xmlns:vt="http://schemas.openxmlformats.org/officeDocument/2006/docPropsVTypes"/>
</file>