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field exponent drifts systematically with temperature. Across the series in which one scale was held over three or more measurement temperatures, the median absolute rank correlation between exponent and temperature is 0.80. That figure has moved since the deposited version of this analysis and we give both: on the table as first deposited there were 18 such series with a median of 0.70, rising to 0.80 in the nine sampled at four or more temperatures, and after the withdrawals described below there are 13 and 6, both at 0.80. The effect the referee anticipated is unchanged in direction and slightly larger. A series here is one source paper, one sample and one held critical scale, which is what makes the scale held by construction; the statistic is the rank correlation between the fixed measurement temperature and the fitted field exponent. We withdraw the worked example we gave, for two reasons rather than one.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of that, the exponent is not monotone over the window we quoted: it falls from 1.25 at 2 K to 0.82 at 10 K before rising to 12.14 at 35 K, and the rank correlation over that window is 0.79 rather than the near-unity our phrasing implied. The sentence described a rise that does not happen over the first third of its own range, and we would have had to correct it whatever became of the unit. In its place, and with a caveat we state rather than leave for the reader to find: the clearest surviving case is the Ba(Fe,Co)2As2 single crystal of Materials Today Physics 27 (2022) 100783, with a scale held at 4.5 T, whose fitted exponent rises from 0.26 to 0.86 across nine measurement temperatures from 4.2 to 18 K with a rank correlation of 1.00. Exactly two series in the surviving cohort clear our filters and both come from that paper, the other being a polycrystal record we have since identified as a copy of this one and withdrawn. This record is itself graded weak in our audit, sitting 1.3 to 1.7 times above a retrace of its own figure with a wrong tail, so we offer it as the best surviving illustration and not as a clean one.</w:t>
      </w:r>
      <w:r/>
      <w:r/>
      <w:r/>
      <w:r/>
      <w:r/>
      <w:r/>
      <w:r/>
      <w:r>
        <w:t xml:space="preserve">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we can no longer report a fold improvement at all, and we give the errors instead. On the fits passing physicality the mean absolute error in the exponent is 1.19 without conditioning and 0.55 with it; across all seven families carrying a descriptor it is 12.3 and 14.9, which is conditioning doing worse than not conditioning. An earlier version of this reply quoted 1.07, 2.24 and 1.83 for the three cohorts. We withdraw those three figures because they repeat the defect they were introduced to replace. The sample-form-conditional scope is undefined for the MgB2 class, since once the cuprate families are gated out no other family contributes a bulk or wire fit, so its error is missing and the mean silently skips it: 2.24 and 1.83 divide a four-family numerator by a three-family denominator, exactly the mismatched-cohort error we identify above as the reason the 23-fold was wrong. Matched over the families the predictor can actually score they are 2.17 and 2.11. They were also the lowest of four ways of forming the conditional prediction, and the lowest is not the same one on every cohort, so the three figures were not a common quantity. Nor is the protocol stable enough to carry a ratio at this scope. On the 52 field-axis fits that survive the anchor repairs and the fitting protocol there are four substructure families and therefore four folds, the unconditioned stage is a two-parameter fit on three training points in each, and removing any single family moves the ratio between 0.74 and 550. The referee's objection is therefore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The conditioning claim no longer rests on this ratio at all, and we have to be careful about what we move it onto. An earlier version of this reply rested it on the variance-decomposition diagnostic. That will not do, because we concede above that the diagnostic cannot establish the regime distinction it is used to draw: sample form is very nearly a relabelling of source paper in this corpus, and under the only null that respects that structure no family cell can reach a probability below 0.10.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What the claim rests on is the temperature axis, and the evidence is the permutation test reported under the changes we made on our own, below: with source papers as the unit and the substructure label shuffled between them, the family accounts for a rising fraction of the between-paper variance in the temperature exponent as the anchors are corrected, while on the field axis it accounts for essentially none under either version. We do not restate those figures here. The point for this objection is only that the conditioning claim is a temperature-axis claim, that it is the one result in this paper that improved under every correction we made, and that neither the ratio the referee questioned nor the sample-form diagnostic is load-bearing for it.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We also report the descriptor’s rank</w:t>
      </w:r>
      <w:r>
        <w:t xml:space="preserve"> </w:t>
      </w:r>
      <w:r>
        <w:t xml:space="preserve">correlation as a Spearman coefficient of 0.635 with a 95% confidence interval from 0.061 to</w:t>
      </w:r>
      <w:r>
        <w:t xml:space="preserve"> </w:t>
      </w:r>
      <w:r>
        <w:t xml:space="preserve">0.948, so that the reader can see how weak that signal is and why Stage 1 is retained for</w:t>
      </w:r>
      <w:r>
        <w:t xml:space="preserve"> </w:t>
      </w:r>
      <w:r>
        <w:t xml:space="preserve">ranking and classification rather than for magnitude.</w:t>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