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compounds and 3303 extracted data points, drawn from a screened retrieval corpus of 934 articles, and which retains the experimental context of each measured curve. A variance-decomposition diagnostic tests, family by family, whether sample form is a required conditioning variable, and assigns two distinct regimes across the studied families: sample form explains 37% of the within-family variance in the critical-current anchor for iron chalcogenide 11-type materials, 49% for iron pnictide 122-type, and 12% for MgB2-class. These regimes set the conditioning rule the predictor follows. Because sample form is very nearly a relabelling of source paper in this corpus, the separation between them is not established at any useful significance, and we state the measurement that would establish it.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clear the threshold we set for it: normalizing temperature and field by their critical values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a variance-scale reduction of 24.3%, both below the 30% adoption threshold, and the result is unchanged on the standard-deviation scale under a 35% perturbation of the estimated critical fields. The framework then emits family-scope critical-current envelopes with bootstrap uncertainty for three validated substructure families, together with an explicit refusal decision for every candidate and prediction target.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question put to the literature, and in doing so it tells the model not only what to predict but also when to stay silent. Whether this literature can answer that question is itself a result of the work, and Section III.A reports that on this corpus it cannot, because sample form arrives one paper at a time.</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Both fall below the 30% adoption threshold, which marks the level at which a universal law would substantially exceed the gain observed from family-conditional aggregation.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22083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2083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(b) Candidate dispatch by substructure family, showing for each family how many of its candidate compounds receive at least one emitted prediction and how many are refused, with the gate that refused them.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compounds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and we state this explicitly because an earlier version of this manuscript implied otherwise. Eighteen of the 20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since an earlier version of this manuscript called it "curated substructure reference values" without qualification.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(BiO</w:t>
      </w:r>
      <w:r>
        <w:rPr>
          <w:rFonts w:ascii="Times New Roman" w:cs="Times New Roman" w:eastAsia="Times New Roman" w:hAnsi="Times New Roman"/>
          <w:i w:val="false"/>
          <w:iCs w:val="false"/>
          <w:sz w:val="24"/>
          <w:szCs w:val="24"/>
          <w:vertAlign w:val="subscript"/>
        </w:rPr>
        <w:t xml:space="preserve">5</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compound lies inside the validated scope.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Their per-paper holdout mean absolute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0.597, 0.352, and 0.260 dex respectively, and Form 3 was adopted on that empirical basis.</w:t>
      </w:r>
    </w:p>
    <w:p>
      <w:pPr>
        <w:spacing w:after="140" w:before="360" w:line="240"/>
        <w:jc w:val="both"/>
      </w:pPr>
      <w:r>
        <w:rPr>
          <w:rFonts w:ascii="Times New Roman" w:cs="Times New Roman" w:eastAsia="Times New Roman" w:hAnsi="Times New Roman"/>
          <w:b/>
          <w:bCs/>
          <w:sz w:val="20"/>
          <w:szCs w:val="20"/>
        </w:rPr>
        <w:t xml:space="preserve">TABLE II.</w:t>
      </w:r>
      <w:r>
        <w:rPr>
          <w:rFonts w:ascii="Times New Roman" w:cs="Times New Roman" w:eastAsia="Times New Roman" w:hAnsi="Times New Roman"/>
          <w:sz w:val="20"/>
          <w:szCs w:val="20"/>
        </w:rPr>
        <w:t xml:space="preserve"> Functional-form comparison on the fully fittable cohort. Per-paper holdout mean absolute error in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80/20 split per compound, identical splits across forms.</w:t>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on the holdout comparison in Table II, evaluated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and it was not visible as a separate stage in the earlier presentation of this work.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physical and statistical scope over which predictions are valid.</w:t>
      </w:r>
    </w:p>
    <w:p>
      <w:pPr>
        <w:spacing w:after="120" w:before="240"/>
        <w:jc w:val="center"/>
      </w:pPr>
      <w:r>
        <w:drawing>
          <wp:inline distT="0" distB="0" distL="0" distR="0">
            <wp:extent cx="5715000" cy="53142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31421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and it was not visible as a separate stage in the earlier presentation of this work.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An earlier version of this manuscript reported exponent errors in dex, which made a value such as 10.10 read as ten orders of magnitude in current density when it is in fact a dimensionless exponent error.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and we name it precisely here because that was ambiguous in the earlier presentation. The descriptor carries genuine but weak rank information. An earlier version of this section quantified it as a Spearman coefficient of 0.635 with a 95% confidence interval of [0.061, 0.948]. That figure is withdrawn: it was computed on the nine-family version of the descriptor table, two of whose families have since been withdrawn, and on the mean field exponent where this stage regresses the median. On the seven families that remain the coefficient is 0.408 on the median and 0.593 on the mean, and a bootstrap interval on either contains zero and reaches unity, because a rank correlation over seven points of which three share an identical descriptor value cannot be estimated more tightly than that. We therefore report the rank-position result below, which is the quantity this stage was validated on and which needs no interval.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Stage 2 groups the extracted exponents by sample form within each substructure and uses the median of each (substructure, sample form) cell. Comparing the two stages requires care, and we report the comparison in the form that survives it. The Stage 1 error was computed across the nine substructure families of an earlier version of this analysis and the Stage 2 error across the five families that carried populated sample-form cells, so the headline ratio of 10.10 to 0.43 compares different cohorts.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We do not report a fold improvement. An earlier version of this section gave 1.07, 2.24 and 1.83 across the three cohorts, and those are withdrawn: the sample-form-conditional scope is undefined for the MgB2 class, because once the cuprate families are removed no other family contributes a bulk or wire fit, so two of the three divided a four-family numerator by a three-family denominator, which is the mismatched-cohort defect this same paragraph identifies in the original ratio. They were also the lowest of four ways of forming the conditional prediction, and the lowest is not the same one on every cohort. We give the errors instead: across the seven families the leave-one-substructure-out mean absolute error is 12.3 without sample-form conditioning and 14.9 with it, and on the fits passing physicality it is 1.19 and 0.55 over the three families the conditional scope can score. Neither predictor is distinguishable from the out-of-sample median of the training fits, which uses no family and no sample form at all, and removing any single family moves the comparison across unity. The corpus cannot separate the two effects, because sample form is nearly nested within substructure here: wire occurs in one family only, and holding a substructure out removes most of its forms from the training pool.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giving a leave-one-substructure-out error of 0.84 in the field exponent. This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w:t>
      </w:r>
      <w:r>
        <w:rPr>
          <w:rFonts w:ascii="Times New Roman" w:cs="Times New Roman" w:eastAsia="Times New Roman" w:hAnsi="Times New Roman"/>
          <w:sz w:val="24"/>
          <w:szCs w:val="24"/>
        </w:rPr>
        <w:t xml:space="preserve"> The conditioning claim rests on this test rather than on the stage comparison above, and it is computed on the critical-current anchor,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The diagnostic yields two distinct outcomes, summarized in Fig. 3, and we state at the outset what it can and cannot establish. On the deposited anchors the ratio is 0.37 for iron chalcogenide 11-type, 0.49 for iron pnictide 122-type and 0.12 for MgB2-class. An earlier version of this section gave 0.35 for the 122-type family, which reproduces from no cohort in the deposit and is corrected here. After the anchor repair of Section III.F, which withdraws 26 of the 96 rows and corrects a scale error on 15 more, the same three are 0.81 on 5 samples, 0.37 on 7 and 0.04 on 13. The direction is unchanged and the separation between the MgB2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MgB2-class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MgB2-class cell admits three distinct labellings and can therefore never return a p below 0.33 however clean its separation, and the two iron-based cells admit four and ten. Corrected for the upward bias this statistic carries at small sample size, the MgB2-class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Given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cohort size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15 physical samples), a label-permutation test cannot distinguish this low ratio from a weak sample-form signal concealed by sampling noise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0.21).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795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79566"/>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Of the 96 per-paper anchor records of Table I, 56 fall in the three families shown and the remainder in families not plotted here. The 56 collapse to the 37 markers drawn, because multiple isotherms of one physical sample are averaged into a single record before plotting: 12 for iron chalcogenide 11-type, 10 for iron pnictide 122-type, and 15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Singleton cells are flagged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The quantity plotted is the critical-current anchor, which uses neither a fitted exponent nor an upper-critical-field scale, so this diagnostic is independent of the field-axis issues discussed in Sec. III.F.</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in the field exponent, 2.81 times the in-corpus baseline of 0.567. A transition-temperature-only baseline reaches 1.166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the three-anchor error is 0.694, and the reduction is 45.2%, and that is the figure we carry.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951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95162"/>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val="false"/>
          <w:iCs w:val="false"/>
          <w:sz w:val="20"/>
          <w:szCs w:val="20"/>
          <w:vertAlign w:val="subscript"/>
        </w:rPr>
        <w:t xml:space="preserve">1</w:t>
      </w:r>
      <w:r>
        <w:rPr>
          <w:rFonts w:ascii="Times New Roman" w:cs="Times New Roman" w:eastAsia="Times New Roman" w:hAnsi="Times New Roman"/>
          <w:sz w:val="20"/>
          <w:szCs w:val="20"/>
        </w:rPr>
        <w:t xml:space="preserve"> mean absolute error in the dimensionless field-dependence exponent at each anchor-count value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 the dotted line marks the in-corpus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baseline.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-class materials cannot be assessed on this axis by leave-one-compound-out at all, because the 257-fit temperature-exponent cohort contains no MgB2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two of the fifteen are poorly constrained, one fitting with an rms of 6.3 in log10 Jc and one resting on three points.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MgB2-class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withdraw the three we previously reported rather than replace them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Both fall well below the 30% threshold required for adopting universality as the prediction scope. We report the standard-deviation figure as primary and give the variance-scale equivalent explicitly, because the two differ by roughly a factor of two and the distinction is a recurring source of confusion in scaling-collapse claims.</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no draw exceeded 30% on the standard-deviation scale, and 9 of 400 exceeded it on the variance scale. The conclusion is therefore insensitive to the accuracy of the estimated critical fields on the standard-deviation scale. We note the one qualification: on the variance scale 9 of the 400 draws do reach 30%, so the result is secure on the metric we report as primary and marginal on the other, and we prefer to say so rather than to describe it as insensitive without qualification.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both below the 30% adoption threshold. Zero of 400 critical-field perturbation draws reach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56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Sample form explains 37%, 49%, and 12% of within-family anchor variance for iron chalcogenide 11-type, iron pnictide 122-type, and MgB2-class respectively.</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Substructure conditioning reduces field-exponent error by between one and about two-fold under leave-one-substructure-out validation, depending on the cohort, and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exponent error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0.29 dex in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J</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propagated in quadrature over the three fitted terms.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validated substructure families, of which one emits at the current gate settings.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106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Where the terms are in fact positively correlated the quadrature above understates the aggregate uncertainty, so the figure we quote should be read as a lower bound on the structural component </w:t>
      </w:r>
      <w:r>
        <w:rPr>
          <w:rFonts w:ascii="Times New Roman" w:cs="Times New Roman" w:eastAsia="Times New Roman" w:hAnsi="Times New Roman"/>
          <w:sz w:val="24"/>
          <w:szCs w:val="24"/>
        </w:rPr>
        <w:t xml:space="preserve">[39]</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The validated framework is applied to candidate compounds drawn from the 3DSC_MP cross-reference between SuperCon transition-temperature records and Materials Project crystal structures. Dispatch is restricted to the three families that meet the population requirement and carry a validated temperature axis: iron chalcogenide 11-type, iron pnictide 122-type, and MgB2-class. Because the field axis is not validated at family level, no dispatched field-axis output is offered as a validated prediction; each is carried as the labelled limitation stated later in this section.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since the same compound can be reached through more than one source paper; the earlier presentation reported record counts as compound counts, and Table IV now reports both. Of the 183, 84 receive at least one non-refused prediction target from the dispatch routine, and all 84 are MgB2-class. The other two families dispatch nothing. Every one of iron chalcogenide 11-type's 441 candidate-grid targets is refused, 248 for lying below the validated reduced field, 153 for a target temperature above Tc, and 40 because the family carries no validated field axis, which after this revision is true of every family;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and field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Seven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Mixed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The prediction rule for each substructure follows from the variance-decomposition diagnostic, and only the MgB2 rule is exercised by the current dispatch. For MgB2-class, sample form explains little variance, so the model uses the substructure-aggregate predictor throughout; every dispatched MgB2-class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on the deposited anchors,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0.29 dex at one sigma, computed from residual standard deviations of 0.265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1.158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0.920 in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within the iron pnictide 122-type scope, and it is flat to within 0.005 dex across the evaluated field grid.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An earlier version of this section reported medians of 6.00, 5.75 and 5.32 at 0.1 T across the three families, and a top-quartile slice that was entirely iron chalcogenide 11-type. Both rest on predictions this revision's reduced-field gate refuses, and both are withdrawn rather than restated.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0.59, above which the 122-type envelope is the higher of the two, by 0.40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We do not emit per-compound rankings within a family, and the reason is structural rather than statistical. The dispatch emits at two grid points. At 4.2 K and 5 T the 86 MgB2-class prediction records covering 84 distinct compounds span 0.0098 dex, which is 1.6% of the 0.60 dex bootstrap interval at the same point; at 20 K and 5 T the 77 records covering 75 compounds span 0.259 dex. Both points clear the gates of this revision, at reduced temperatures of 0.48 to 0.70 and a reduced field of 0.3226. An earlier version of this section called 4.2 K and 5 T the only grid point at which anything is dispatched, which is wrong. The family emits one value for every purpose the paper claims at the lower point, and this follows from the inference procedure of Section II.D in a more specific way than we previously stated. The substructure and sample-form conditioning fixes every parameter of Eq. (2); every dispatched record carries the same 15.5 T parent anchor, so the field term is common to all of them; and the model is anchored at a reference point whose temperature is 4.2 K, so at 4.2 K the temperature term is the difference of a quantity from itself and is identically zero for every candidate whatever its transition-temperature anchor. Across 59 distinct anchors from 8.9 to 41.4 K the largest value that term takes is exactly zero. The prediction at that grid point is therefore a single family-level constant, and the residual 0.0098 dex is the bootstrap draw over an 18-fit pool rather than variation between compounds: resampling that pool 84 times independently returns 0.0092 dex with a standard deviation of 0.0016. At 20 K the transition-temperature anchor does enter, and the prediction regresses on the temperature term with a slope of 1.22 and an R squared of 0.996, recovering the family exponent of 1.14.</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(a)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at a fixed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 0.5, against reduced temperature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which is half the median full width of the 95% bootstrap confidence interval quoted as 0.61 dex in the text (5000 iterations) across non-refused predictions; per-grid-point intervals are narrower in low-uncertainty regions and wider elsewhere. The cross in panel (b) marks the reduced field of 0.59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Separation of the temperature and field terms is therefore not guaranteed, and we can quantify the cost. Where a paper's critical scale was held fixed across measurement temperatures, the fitted field exponent drifts systematically with temperature. Across the series in which one scale was held over three or more measurement temperatures, the median absolute rank correlation between exponent and temperature is 0.80, over 13 series, and 0.80 again over the 6 sampled at four or more temperatures. On the cohort as first deposited these were 0.70 over 18 and 0.80 over 9; the withdrawals reduce the count and leave the effect slightly larger. The worked example given here previously, SmFeAsO0.8F0.2 with a scale held at 86 T, is withdrawn: its printed field axis is kilo-oersted recorded as tesla, so corrected its fits fail the applicability bound, and independently its exponent is not monotone across the window we quoted, falling from 1.25 at 2 K to 0.82 at 10 K before rising to 12.14 at 35 K. The clearest surviving case is the Ba(Fe,Co)2As2 single crystal of Ref. [40] with a scale held at 4.5 T, whose exponent rises from 0.26 to 0.86 across nine measurement temperatures from 4.2 to 18 K; our audit grades that record weak, sitting 1.3 to 1.7 times above a retrace of its own figure, and we offer it as the best surviving illustration rather than a clean 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field-axis verdicts this manuscript previously reported for iron pnictide 122-type and MgB2-class are withdrawn in Section III.C,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asks, family by family, whether sample-form conditioning is required, and assigns two distinct regimes across the studied families which set the predictor's conditioning rule without being established as a tested distinction, and explicit refusal gates prevent predictions outside the validated scope. Universal reduced-variable scaling reduces the within-bin scatter by only 13.0% on the standard-deviation scale and 24.3% on the variance scale, both below the 30% adoption threshold, and the standard-deviation-scale result insensitive to a 35% perturbation of the estimated critical fields, with the variance-scale result marginal under that test. Conditioning by substructure reduces the cross-family field-exponent error by at most about two-fold under leave-one-substructure-out validation, and by less on some cohorts. The framework emits family-scope critical-current envelopes with calibrated uncertainty for three validated substructure families, together with an explicit refusal decision for each of 183 candidate compounds and each prediction target, of which 84 compounds receive at least one dispatched target.</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