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compounds and 3303 extracted data points, drawn from a screened retrieval corpus of 934 articles, and which retains the experimental context of each measured curve. A variance-decomposition diagnostic tests, family by family, whether sample form is a required conditioning variable, and returns two distinct regimes across the studied families: sample form explains 37% of the within-family variance in the critical-current anchor for iron chalcogenide 11-type materials, 49% for iron pnictide 122-type, and 12% for MgB2-class.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xml:space="preserve">.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hypothesis tested against the literature, and in doing so it tells the model not only what to predict but also when to stay silent.</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2208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2083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(b) Candidate dispatch by substructure family, showing for each family how many of its candidate compounds receive at least one emitted prediction and how many are refused, with the gate that refused them.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compounds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(BiO</w:t>
      </w:r>
      <w:r>
        <w:rPr>
          <w:rFonts w:ascii="Times New Roman" w:cs="Times New Roman" w:eastAsia="Times New Roman" w:hAnsi="Times New Roman"/>
          <w:i w:val="false"/>
          <w:iCs w:val="false"/>
          <w:sz w:val="24"/>
          <w:szCs w:val="24"/>
          <w:vertAlign w:val="subscript"/>
        </w:rPr>
        <w:t xml:space="preserve">5</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53142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31421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Spearman ρ = 0.635 with a 95% confidence interval of [0.061, 0.948].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The improvement is then between one and about two-fold and depends on the cohort: across the seven families that carry a descriptor the best Stage 2 reading gives 1.07-fold, restricted to fits passing physicality it gives 2.24-fold, and with the cuprate families removed 1.83-fold. Stage 3 gives 1.37-fold on means across all seven families and 2.20-fold with the cuprate families removed, where its interquartile bound covers the residual in four of four families.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w:t>
      </w:r>
      <w:r>
        <w:rPr>
          <w:rFonts w:ascii="Times New Roman" w:cs="Times New Roman" w:eastAsia="Times New Roman" w:hAnsi="Times New Roman"/>
          <w:sz w:val="24"/>
          <w:szCs w:val="24"/>
        </w:rPr>
        <w:t xml:space="preserve"> The conditioning claim rests on this test rather than on the stage comparison above, and it is computed on the critical-current anchor,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The diagnostic yields two distinct outcomes, summarized in Fig. 3. For iron chalcogenide 11-type materials the ratio is 0.37: sample form accounts for a substantial minority of the relevant variance, so sample-form conditioning is informative rather than required, the predictor uses Stage 2 medians where the cell is populated, and the within-cell interquartile range captures the remaining compound-level variation. For iron pnictide 122-type the ratio is 0.35: sample form still carries information, so conditioning is applied when sample form is known, falling back to the single-crystal cell rather than to Stage 3 when it is not, which is the rule the dispatch commits to for every 122-type record.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the ratio drops to 0.12: sample form explains little of the variance, so the predictor uses substructure-aggregate scope with the full interquartile range as uncertainty.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this diagnostic is independent of the field-axis issues discussed in Sec. III.F.</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-class materials cannot be assessed on this axis by leave-one-compound-out at all, because the 257-fit temperature-exponent cohort contains no MgB2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MgB2-class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Sample form explains 37%, 49%, and 12% of within-family anchor variance for iron chalcogenide 11-type, iron pnictide 122-type, and MgB2-class respectively.</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Substructure conditioning reduces field-exponent error by between one and about two-fold under leave-one-substructure-out validation, depending on the cohort, and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pass the validation and population requirements: iron chalcogenide 11-type, iron pnictide 122-type,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-class.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since the same compound can be reached through more than one source paper; the earlier presentation reported record counts as compound counts, and Table IV now reports both. Of the 183, 84 receive at least one non-refused prediction target from the dispatch routine, and all 84 are MgB2-class. The other two families dispatch nothing. Every one of iron chalcogenide 11-type's 441 candidate-grid targets is refused, 248 for lying below the validated reduced field, 153 for a target temperature above Tc, and 40 because the family does not pass field-axis validation;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The prediction rule for each substructure follows from the variance-decomposition diagnostic, and only the MgB2 rule is exercised by the current dispatch. For MgB2-class, sample form explains little variance, so the model uses the substructure-aggregate predictor throughout; every dispatched MgB2-class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We do not emit per-compound rankings within a family, and the reason is structural rather than statistical. At 4.2 K and 5 T, the only grid point at which anything is dispatched, the 86 MgB2-class prediction records covering 84 distinct compounds span 0.0098 dex, which is 1.6% of the 0.60 dex bootstrap interval at the same point. The family emits one value for every purpose the paper claims. This follows from the inference procedure of Section II.D: the substructure and sample-form conditioning fixes every parameter of Eq. (2), and the compound-specific inputs are the upper-critical-field anchor, which enters through the field term, and the transition-temperature anchor, which enters through the temperature term. Every dispatched record carries the same 15.5 T parent anchor, so the field term is common to all of them and the residual spread is about 60 times smaller than the uncertainty on any one prediction.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18 series in which one scale was held over three or more measurement temperatures, the median absolute rank correlation between exponent and temperature is 0.70, rising to 0.80 in the nine series sampled at four or more temperatures. In the clearest case, SmFeAsO</w:t>
      </w:r>
      <w:r>
        <w:rPr>
          <w:rFonts w:ascii="Times New Roman" w:cs="Times New Roman" w:eastAsia="Times New Roman" w:hAnsi="Times New Roman"/>
          <w:i w:val="false"/>
          <w:iCs w:val="false"/>
          <w:sz w:val="24"/>
          <w:szCs w:val="24"/>
          <w:vertAlign w:val="subscript"/>
        </w:rPr>
        <w:t xml:space="preserve">0.8</w:t>
      </w:r>
      <w:r>
        <w:rPr>
          <w:rFonts w:ascii="Times New Roman" w:cs="Times New Roman" w:eastAsia="Times New Roman" w:hAnsi="Times New Roman"/>
          <w:sz w:val="24"/>
          <w:szCs w:val="24"/>
        </w:rPr>
        <w:t xml:space="preserve">F</w:t>
      </w:r>
      <w:r>
        <w:rPr>
          <w:rFonts w:ascii="Times New Roman" w:cs="Times New Roman" w:eastAsia="Times New Roman" w:hAnsi="Times New Roman"/>
          <w:i w:val="false"/>
          <w:iCs w:val="false"/>
          <w:sz w:val="24"/>
          <w:szCs w:val="24"/>
          <w:vertAlign w:val="subscript"/>
        </w:rPr>
        <w:t xml:space="preserve">0.2</w:t>
      </w:r>
      <w:r>
        <w:rPr>
          <w:rFonts w:ascii="Times New Roman" w:cs="Times New Roman" w:eastAsia="Times New Roman" w:hAnsi="Times New Roman"/>
          <w:sz w:val="24"/>
          <w:szCs w:val="24"/>
        </w:rPr>
        <w:t xml:space="preserve"> with a scale held at 86 T, the fitted exponent runs from 1.25 to 12.14 as temperature rises from 2 to 35 K.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MgB2-class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determines, family by family, whether sample-form conditioning is required, returning two distinct regimes across the studied families,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