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 xml:space="preserve">field exponent drifts systematically with temperature. Across the 18 series in which one</w:t>
      </w:r>
      <w:r>
        <w:t xml:space="preserve"> </w:t>
      </w:r>
      <w:r>
        <w:t xml:space="preserve">scale was held over three or more measurement temperatures, the median absolute rank</w:t>
      </w:r>
      <w:r>
        <w:t xml:space="preserve"> </w:t>
      </w:r>
      <w:r>
        <w:t xml:space="preserve">correlation between exponent and temperature is 0.70, rising to 0.80 in the nine series</w:t>
      </w:r>
      <w:r>
        <w:t xml:space="preserve"> </w:t>
      </w:r>
      <w:r>
        <w:t xml:space="preserve">sampled at four or more temperatures. In the clearest case, SmFeAsO0.8F0.2 with a scale held at 86 T, the fitted</w:t>
      </w:r>
      <w:r>
        <w:t xml:space="preserve"> </w:t>
      </w:r>
      <w:r>
        <w:t xml:space="preserve">exponent runs from 1.25 to 12.14 as the temperature rises from 2 to 35 K.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 xml:space="preserve">On MgB2, the referee’s observation and our diagnostic agree, and we have made the connection</w:t>
      </w:r>
      <w:r>
        <w:t xml:space="preserve"> </w:t>
      </w:r>
      <w:r>
        <w:t>explicit. The variance-decomposition test finds that sample form explains only 12% of the within-family variance in this class, against 37% for the iron chalcogenides.</w:t>
      </w:r>
      <w:r/>
      <w:r>
        <w:t xml:space="preserve"> Section III.A</w:t>
      </w:r>
      <w:r>
        <w:t xml:space="preserve"> </w:t>
      </w:r>
      <w:r>
        <w:t xml:space="preserve">now states that this is consistent with the two-band character of MgB2 and with its</w:t>
      </w:r>
      <w:r>
        <w:t xml:space="preserve"> </w:t>
      </w:r>
      <w:r>
        <w:t xml:space="preserve">documented sensitivity to production route, both of which act through variables that a</w:t>
      </w:r>
      <w:r>
        <w:t xml:space="preserve"> </w:t>
      </w:r>
      <w:r>
        <w:t xml:space="preserve">sample-form label does not capture. The diagnostic does not merely fail here; it identifies</w:t>
      </w:r>
      <w:r>
        <w:t xml:space="preserve"> </w:t>
      </w:r>
      <w:r>
        <w:t xml:space="preserve">the family in which the conditioning variable we tested is the wrong one.</w:t>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the one grid point that survives the refusal gates, 4.2 K and 5 T,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At 4.2 K and 5 T, the one grid point that survives the gate, the 86 MgB2-class records covering 84 distinct compounds span 0.0098 dex, which is 1.6% of the 0.60 dex bootstrap interval at that point. The conditioning fixes every parameter of the expression, and the compound-specific inputs are the critical-field anchor, which enters through the field term, and the transition temperature, which enters through the temperature term.</w:t>
      </w:r>
      <w:r/>
      <w:r/>
      <w:r/>
      <w:r/>
      <w:r/>
      <w:r/>
      <w:r/>
      <w:r/>
      <w:r/>
      <w:r>
        <w:t xml:space="preserve"> The narrow spread was therefore not evidence of precision. The predictor is constant by</w:t>
      </w:r>
      <w:r>
        <w:t xml:space="preserve"> </w:t>
      </w:r>
      <w:r>
        <w:t xml:space="preserve">construction, and the paper now says so and states what the framework may claim as a result.</w:t>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the manuscript now reports that.</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the improvement is between one and about two-fold and depends on the cohort: 1.07-fold across the seven families carrying a descriptor, 2.24-fold on the fits passing physicality, and 1.83-fold with the cuprate families removed. Those are the figures we now report, and we no longer offer a single fold-improvement headline.</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 xml:space="preserve">The conditioning claim no longer rests on this ratio at all. It rests on</w:t>
      </w:r>
      <w:r>
        <w:t xml:space="preserve"> </w:t>
      </w:r>
      <w:r>
        <w:t xml:space="preserve">the variance-decomposition diagnostic, which is computed on the critical-current anchor and</w:t>
      </w:r>
      <w:r>
        <w:t xml:space="preserve"> </w:t>
      </w:r>
      <w:r>
        <w:t xml:space="preserve">uses neither a fitted exponent nor a critical field scale. We verified that quantity</w:t>
      </w:r>
      <w:r>
        <w:t xml:space="preserve"> </w:t>
      </w:r>
      <w:r>
        <w:t>independently of the corrections: all 96 per-paper anchor groups are identical before and after</w:t>
      </w:r>
      <w:r/>
      <w:r>
        <w:t xml:space="preserve"> the magnetic-field unit repair described below.</w:t>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We also report the descriptor’s rank</w:t>
      </w:r>
      <w:r>
        <w:t xml:space="preserve"> </w:t>
      </w:r>
      <w:r>
        <w:t xml:space="preserve">correlation as a Spearman coefficient of 0.635 with a 95% confidence interval from 0.061 to</w:t>
      </w:r>
      <w:r>
        <w:t xml:space="preserve"> </w:t>
      </w:r>
      <w:r>
        <w:t xml:space="preserve">0.948, so that the reader can see how weak that signal is and why Stage 1 is retained for</w:t>
      </w:r>
      <w:r>
        <w:t xml:space="preserve"> </w:t>
      </w:r>
      <w:r>
        <w:t xml:space="preserve">ranking and classification rather than for magnitude.</w:t>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