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Both tests point the same way as the percentage: the organizing variables here are material identity and measurement context, not reduced temperature and reduced field.</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