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that figure was compared against in the previous version, because we could give no construction for it, and Sec. III.D now tests the scaling claim directly instead: the reduced coordinates carry no more structure than the same grid rotated to a random angle, and unnormalized temperature and applied field organize the same records better by isolating compounds. The conditioning claim rests on the temperature-axis separation reported in Sec. III.C, not on the variance-decomposition diagnostic and not on the error ratio Referee A questioned; the diagnostic sets the conditioning rule per family and is reported with the clustered-null floors that prevent it from establishing the distinction.</w:t>
      </w:r>
      <w:r>
        <w:t xml:space="preserve"/>
      </w:r>
      <w:r>
        <w:t xml:space="preserve"/>
      </w:r>
      <w:r>
        <w:t xml:space="preserve"/>
      </w:r>
      <w:r>
        <w:t xml:space="preserve"/>
      </w:r>
      <w:r>
        <w:t xml:space="preserve"/>
      </w:r>
      <w:r>
        <w:t xml:space="preserve"/>
      </w:r>
      <w:r>
        <w:t xml:space="preserve"/>
      </w:r>
      <w:r>
        <w:t xml:space="preserve"/>
      </w:r>
      <w:r>
        <w:t xml:space="preserve"/>
      </w:r>
      <w:r>
        <w:t xml:space="preserve">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 labels,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the evidence is the permutation test reported under the changes we made on our own, below: with source papers as the unit and the substructure label shuffled between them, the family accounts for a rising fraction of the between-paper variance in the temperature exponent as the anchors are corrected, while on the field axis it accounts for essentially none under either version. We do not restate those figures here. The point for this objection is only that the conditioning claim is a temperature-axis claim, that it is the one result in this paper that improved under every correction we made, and that neither the ratio the referee questioned nor the sample-form diagnostic is load-bearing for it.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