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Substructure-Conditional Critical Current Density Prediction from Heterogeneous Superconductor Literature</w:t>
      </w:r>
    </w:p>
    <w:p>
      <w:pPr>
        <w:spacing w:after="180" w:line="240"/>
        <w:jc w:val="center"/>
      </w:pPr>
      <w:r>
        <w:rPr>
          <w:rFonts w:ascii="Times New Roman" w:cs="Times New Roman" w:eastAsia="Times New Roman" w:hAnsi="Times New Roman"/>
          <w:sz w:val="24"/>
          <w:szCs w:val="24"/>
        </w:rPr>
        <w:t xml:space="preserve">Prachet Poddar,</w:t>
      </w:r>
      <w:r>
        <w:rPr>
          <w:rFonts w:ascii="Times New Roman" w:cs="Times New Roman" w:eastAsia="Times New Roman" w:hAnsi="Times New Roman"/>
          <w:i w:val="false"/>
          <w:iCs w:val="false"/>
          <w:sz w:val="24"/>
          <w:szCs w:val="24"/>
          <w:vertAlign w:val="superscript"/>
        </w:rPr>
        <w:t xml:space="preserve">1</w:t>
      </w:r>
      <w:r>
        <w:rPr>
          <w:rFonts w:ascii="Times New Roman" w:cs="Times New Roman" w:eastAsia="Times New Roman" w:hAnsi="Times New Roman"/>
          <w:sz w:val="24"/>
          <w:szCs w:val="24"/>
        </w:rPr>
        <w:t xml:space="preserve"> Tahiya Chowdhury,</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and Md Shafayat Hossain</w:t>
      </w:r>
      <w:r>
        <w:rPr>
          <w:rFonts w:ascii="Times New Roman" w:cs="Times New Roman" w:eastAsia="Times New Roman" w:hAnsi="Times New Roman"/>
          <w:i w:val="false"/>
          <w:iCs w:val="false"/>
          <w:sz w:val="24"/>
          <w:szCs w:val="24"/>
          <w:vertAlign w:val="superscript"/>
        </w:rPr>
        <w:t xml:space="preserve">3,4,5,*</w:t>
      </w:r>
    </w:p>
    <w:p>
      <w:pPr>
        <w:spacing w:after="40" w:line="240"/>
        <w:jc w:val="center"/>
      </w:pPr>
      <w:r>
        <w:rPr>
          <w:rFonts w:ascii="Times New Roman" w:cs="Times New Roman" w:eastAsia="Times New Roman" w:hAnsi="Times New Roman"/>
          <w:i w:val="false"/>
          <w:iCs w:val="false"/>
          <w:sz w:val="22"/>
          <w:szCs w:val="22"/>
          <w:vertAlign w:val="superscript"/>
        </w:rPr>
        <w:t xml:space="preserve">1</w:t>
      </w:r>
      <w:r>
        <w:rPr>
          <w:rFonts w:ascii="Times New Roman" w:cs="Times New Roman" w:eastAsia="Times New Roman" w:hAnsi="Times New Roman"/>
          <w:i/>
          <w:iCs/>
          <w:sz w:val="22"/>
          <w:szCs w:val="22"/>
        </w:rPr>
        <w:t xml:space="preserve">Department of Physics,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iCs/>
          <w:sz w:val="22"/>
          <w:szCs w:val="22"/>
        </w:rPr>
        <w:t xml:space="preserve">Department of Computer Science, Colby College, Waterville, Maine 04901, USA</w:t>
      </w:r>
    </w:p>
    <w:p>
      <w:pPr>
        <w:spacing w:after="40" w:line="240"/>
        <w:jc w:val="center"/>
      </w:pPr>
      <w:r>
        <w:rPr>
          <w:rFonts w:ascii="Times New Roman" w:cs="Times New Roman" w:eastAsia="Times New Roman" w:hAnsi="Times New Roman"/>
          <w:i w:val="false"/>
          <w:iCs w:val="false"/>
          <w:sz w:val="22"/>
          <w:szCs w:val="22"/>
          <w:vertAlign w:val="superscript"/>
        </w:rPr>
        <w:t xml:space="preserve">3</w:t>
      </w:r>
      <w:r>
        <w:rPr>
          <w:rFonts w:ascii="Times New Roman" w:cs="Times New Roman" w:eastAsia="Times New Roman" w:hAnsi="Times New Roman"/>
          <w:i/>
          <w:iCs/>
          <w:sz w:val="22"/>
          <w:szCs w:val="22"/>
        </w:rPr>
        <w:t xml:space="preserve">Department of Materials Science and Engineering,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4</w:t>
      </w:r>
      <w:r>
        <w:rPr>
          <w:rFonts w:ascii="Times New Roman" w:cs="Times New Roman" w:eastAsia="Times New Roman" w:hAnsi="Times New Roman"/>
          <w:i/>
          <w:iCs/>
          <w:sz w:val="22"/>
          <w:szCs w:val="22"/>
        </w:rPr>
        <w:t xml:space="preserve">California NanoSystems Institute,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5</w:t>
      </w:r>
      <w:r>
        <w:rPr>
          <w:rFonts w:ascii="Times New Roman" w:cs="Times New Roman" w:eastAsia="Times New Roman" w:hAnsi="Times New Roman"/>
          <w:i/>
          <w:iCs/>
          <w:sz w:val="22"/>
          <w:szCs w:val="22"/>
        </w:rPr>
        <w:t xml:space="preserve">Center for Quantum Science and Engineering, University of California, Los Angeles, California 90095, USA</w:t>
      </w:r>
    </w:p>
    <w:p>
      <w:pPr>
        <w:spacing w:after="240" w:before="120" w:line="240"/>
        <w:jc w:val="center"/>
      </w:pPr>
      <w:r>
        <w:rPr>
          <w:rFonts w:ascii="Times New Roman" w:cs="Times New Roman" w:eastAsia="Times New Roman" w:hAnsi="Times New Roman"/>
          <w:sz w:val="20"/>
          <w:szCs w:val="20"/>
        </w:rPr>
        <w:t xml:space="preserve">*Contact author: shossain@seas.ucla.edu</w:t>
      </w:r>
    </w:p>
    <w:p>
      <w:pPr>
        <w:spacing w:after="360" w:before="360" w:line="240"/>
        <w:ind w:left="720" w:right="720"/>
        <w:jc w:val="both"/>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Many AI models in physics assume that measurements from different papers can be combined into a single training set. That assumption fails when the measured property depends on how each physical specimen was prepared and tested. Superconducting critical current density is one such case, and an important one: it sets the useful current range for superconducting wires, magnets, and devices, yet no general predictive framework exists for it. Reported values depend strongly on sample form, microstructure, temperature range, and magnetic-field range, so the regression target is ill-defined unless experimental context is preserved. We introduce a substructure- and sample-form-conditioned framework built from 50 papers that contribute fitted critical-current curves, covering 35 compound labels, which reduce to 27 distinct composition keys, and 3303 extracted data points, drawn from a screened retrieval corpus of 934 articles, and which retains the experimental context of each measured curve. A variance-decomposition diagnostic tests, family by family, whether sample form is a required conditioning variable, and assigns two distinct regimes across the studied families: sample form explains 37% of the within-family variance in the critical-current anchor for iron chalcogenide 11-type materials, 49% for iron pnictide 122-type, and 12%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These regimes set the conditioning rule the predictor follows. Because sample form is very nearly a relabelling of source paper in this corpus, the separation between them is not established at any useful significance, and we state the measurement that would establish it.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Universal reduced-variable scaling does not organize this corpus: normalizing temperature and field by their critical values reduces the within-bin standard deviation of log10 Jc by only 13.0%, a variance-scale reduction of 24.3%, the result is unchanged on the standard-deviation scale under a 35% perturbation of the estimated critical fields, and on a point-level rebuild of the same test the reduced coordinates carry no more structure than the same grid rotated to a random angle.</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The framework then emits family-scope critical-current envelopes with bootstrap uncertainty for three substructure families, together with an explicit refusal decision for every candidate and prediction target. We state what validation stands behind that scope, since it is not uniform. Three families clear the compound leave-one-out threshold on the temperature axis, and no family-level verdict is reported on the field axis, where the substructure label does not separate the exponent at all. The MgB2 class, which is the only family that emits at the current gate settings, is one of the three that dispatch and not one of the three that clear: it carries no fits in the temperature-axis cohort and so is not assessable on the axis where the test can be run. Within a family the emitted envelope is a single curve shared by all member candidates: the output is a scope decision and a family envelope, not a per-compound ranking, and we show that this is a structural property of the predictor rather than a conservative reading of a marginal signal. The same principle, establishing which measurements may be compared before comparing them, applies to any AI-for-physics problem in which the measured property depends strongly on preparation route, sample geometry, or measurement protocol.</w:t>
      </w:r>
    </w:p>
    <w:p>
      <w:pPr>
        <w:pStyle w:val="Heading1"/>
        <w:spacing w:after="240" w:before="480"/>
        <w:jc w:val="center"/>
      </w:pPr>
      <w:r>
        <w:rPr>
          <w:rFonts w:ascii="Times New Roman" w:cs="Times New Roman" w:eastAsia="Times New Roman" w:hAnsi="Times New Roman"/>
          <w:b/>
          <w:bCs/>
          <w:color w:val="000000"/>
          <w:sz w:val="24"/>
          <w:szCs w:val="24"/>
        </w:rPr>
        <w:t xml:space="preserve">I. INTRODUCTION</w:t>
      </w:r>
    </w:p>
    <w:p>
      <w:pPr>
        <w:spacing w:after="0" w:line="480"/>
        <w:ind w:firstLine="431"/>
        <w:jc w:val="both"/>
      </w:pPr>
      <w:r>
        <w:rPr>
          <w:rFonts w:ascii="Times New Roman" w:cs="Times New Roman" w:eastAsia="Times New Roman" w:hAnsi="Times New Roman"/>
          <w:sz w:val="24"/>
          <w:szCs w:val="24"/>
        </w:rPr>
        <w:t xml:space="preserve">Materials informatics has transformed the search for functional materials. Models trained on large databases of crystal structures and compositions have demonstrated that composition and structure carry enough signal to predict properties across broad materials families </w:t>
      </w:r>
      <w:r>
        <w:rPr>
          <w:rFonts w:ascii="Times New Roman" w:cs="Times New Roman" w:eastAsia="Times New Roman" w:hAnsi="Times New Roman"/>
          <w:sz w:val="24"/>
          <w:szCs w:val="24"/>
        </w:rPr>
        <w:t xml:space="preserve">[1, 2]</w:t>
      </w:r>
      <w:r>
        <w:rPr>
          <w:rFonts w:ascii="Times New Roman" w:cs="Times New Roman" w:eastAsia="Times New Roman" w:hAnsi="Times New Roman"/>
          <w:sz w:val="24"/>
          <w:szCs w:val="24"/>
        </w:rPr>
        <w:t xml:space="preserve">, accelerating discovery workflows that once depended entirely on physical synthesis and measurement. The infrastructure supporting this shift includes structural databases such as the Materials Project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compositional descriptors such as MAGPIE (a set of element-property statistics that encodes composition as a fixed-length numerical vector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curated superconductivity datasets such as SuperCon, and integrated resources such as 3DSC_MP </w:t>
      </w:r>
      <w:r>
        <w:rPr>
          <w:rFonts w:ascii="Times New Roman" w:cs="Times New Roman" w:eastAsia="Times New Roman" w:hAnsi="Times New Roman"/>
          <w:sz w:val="24"/>
          <w:szCs w:val="24"/>
        </w:rPr>
        <w:t xml:space="preserve">[5, 6]</w:t>
      </w:r>
      <w:r>
        <w:rPr>
          <w:rFonts w:ascii="Times New Roman" w:cs="Times New Roman" w:eastAsia="Times New Roman" w:hAnsi="Times New Roman"/>
          <w:sz w:val="24"/>
          <w:szCs w:val="24"/>
        </w:rPr>
        <w:t xml:space="preserve">. In superconductivity, this method has been particularly effective for predicting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varies far less between samples of a compound than the critical current does, it can for most purposes be treated as a single scalar per compound and predicted directly from composition and crystal structure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success of AI for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however, obscures a harder class of problem. Many properties that govern practical device performance depend not only on chemical identity but on the specifics of how each specimen was prepared, measured, and tested. When published data are combined without regard to experimental context, the resulting training set can misrepresent the property, because a single compound may exhibit many different values, none of which is definitive. No established methodology exists for deciding which of those faces can be compared before regression is attempted.</w:t>
      </w:r>
    </w:p>
    <w:p>
      <w:pPr>
        <w:spacing w:after="0" w:line="480"/>
        <w:ind w:firstLine="431"/>
        <w:jc w:val="both"/>
      </w:pPr>
      <w:r>
        <w:rPr>
          <w:rFonts w:ascii="Times New Roman" w:cs="Times New Roman" w:eastAsia="Times New Roman" w:hAnsi="Times New Roman"/>
          <w:sz w:val="24"/>
          <w:szCs w:val="24"/>
        </w:rPr>
        <w:t xml:space="preserve">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determines the practical operating range of a superconductor. It defines how much current a superconductor can carry in wires, magnets, cables, and devices before dissipation begins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and it sets the operating margins for fusion energy systems, MRI instruments, and high-field research magnets. Databases such as 3DSC_MP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now list thousands of candidate superconducting compounds. Identifying which compounds merit investment in conductor development requires knowing their critical current density across a range of temperatures and fields. Without a predictive framework, each candidate requires physical synthesis and characterization, a bottleneck that materials informatics has bypassed for transition temperature but has not yet addressed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Unlike transition temperature, critical current density is not a single scalar per compound. It is a function of both temperature and magnetic field, and its values can span several orders of magnitude for the same chemical compound depending on how the sample was prepared. A single crystal, a polycrystal, a thin film, a tape, and a wire can give very different current densities for the same compound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This behavior follows from the physics of vortex pinning, grain coupling, texture, film quality, and conductor architecture. Established frameworks such as the temperature-dependent upper critical field, Kramer extrapolation (a method for estimating the irreversibility field by linearly extrapolating a plot of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i w:val="false"/>
          <w:iCs w:val="false"/>
          <w:sz w:val="24"/>
          <w:szCs w:val="24"/>
          <w:vertAlign w:val="superscript"/>
        </w:rPr>
        <w:t xml:space="preserve">1/2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perscript"/>
        </w:rPr>
        <w:t xml:space="preserve">1/4</w:t>
      </w:r>
      <w:r>
        <w:rPr>
          <w:rFonts w:ascii="Times New Roman" w:cs="Times New Roman" w:eastAsia="Times New Roman" w:hAnsi="Times New Roman"/>
          <w:sz w:val="24"/>
          <w:szCs w:val="24"/>
        </w:rPr>
        <w:t xml:space="preserve"> against field to zero current), pinning-force scaling, and vortex-matter theory already show that critical current density is shaped by both the material and the measurement context </w:t>
      </w:r>
      <w:r>
        <w:rPr>
          <w:rFonts w:ascii="Times New Roman" w:cs="Times New Roman" w:eastAsia="Times New Roman" w:hAnsi="Times New Roman"/>
          <w:sz w:val="24"/>
          <w:szCs w:val="24"/>
        </w:rPr>
        <w:t xml:space="preserve">[11–16]</w:t>
      </w:r>
      <w:r>
        <w:rPr>
          <w:rFonts w:ascii="Times New Roman" w:cs="Times New Roman" w:eastAsia="Times New Roman" w:hAnsi="Times New Roman"/>
          <w:sz w:val="24"/>
          <w:szCs w:val="24"/>
        </w:rPr>
        <w:t xml:space="preserve">. In other words, the compound name alone does not name a number. Until the experimental context is restored, there is no single value for a predictor to aim at.</w:t>
      </w:r>
    </w:p>
    <w:p>
      <w:pPr>
        <w:spacing w:after="0" w:line="480"/>
        <w:ind w:firstLine="431"/>
        <w:jc w:val="both"/>
      </w:pPr>
      <w:r>
        <w:rPr>
          <w:rFonts w:ascii="Times New Roman" w:cs="Times New Roman" w:eastAsia="Times New Roman" w:hAnsi="Times New Roman"/>
          <w:sz w:val="24"/>
          <w:szCs w:val="24"/>
        </w:rPr>
        <w:t xml:space="preserve">This creates a challenge that differs fundamentally from the standard AI-for-materials setup. In the standard setup, illustrated by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prediction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AI task is regression: given composition and structure, predict a target value from a pool of measurements that can be compared on equal footing.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 prior step is required: determining which measurements can be meaningfully compared before any regression is attempted. Vortex pinning, the trapping of magnetic flux lines by microstructural defects, depends on sample geometry, processing route, and field window as much as on chemical composition </w:t>
      </w:r>
      <w:r>
        <w:rPr>
          <w:rFonts w:ascii="Times New Roman" w:cs="Times New Roman" w:eastAsia="Times New Roman" w:hAnsi="Times New Roman"/>
          <w:sz w:val="24"/>
          <w:szCs w:val="24"/>
        </w:rPr>
        <w:t xml:space="preserve">[12, 13, 15, 16]</w:t>
      </w:r>
      <w:r>
        <w:rPr>
          <w:rFonts w:ascii="Times New Roman" w:cs="Times New Roman" w:eastAsia="Times New Roman" w:hAnsi="Times New Roman"/>
          <w:sz w:val="24"/>
          <w:szCs w:val="24"/>
        </w:rPr>
        <w:t>. Pooling data across sample forms and measurement windows therefore blends material physics with laboratory bookkeeping into a single column of numbers. A pooled dataset of this kind can look reassuringly large while quietly asking the model to learn a quantity that does not exist. The solution is not a larger model, but a prior question that can be answered with existing data: for each material family, which experimental variable must be held fixed before two measurements can be compared? Our central contribution is a variance-decomposition diagnostic that answers exactly this question. It converts the conditioning structure from an assumption made by the modeler into a question put to the literature, and in doing so it tells the model not only what to predict but also when to stay silent. Whether this literature can answer that question is itself a result of the work, and Section III.A reports that on this corpus it cannot, because sample form arrives one paper at a time.</w:t>
      </w:r>
    </w:p>
    <w:p>
      <w:pPr>
        <w:spacing w:after="0" w:line="480"/>
        <w:ind w:firstLine="431"/>
        <w:jc w:val="both"/>
      </w:pPr>
      <w:r>
        <w:rPr>
          <w:rFonts w:ascii="Times New Roman" w:cs="Times New Roman" w:eastAsia="Times New Roman" w:hAnsi="Times New Roman"/>
          <w:sz w:val="24"/>
          <w:szCs w:val="24"/>
        </w:rPr>
        <w:t xml:space="preserve">We apply this approach to type-II superconductors, where three families provide sufficient literature coverage to calibrate and validate the diagnostic. The three target families are iron chalcogenide 11-type (e.g., FeSe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iron pnictide 122-type (e.g.,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(e.g.,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itself and partially substituted variants such as Mg(B</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C</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The broader validation set also includes iron pnictide 1111-type (e.g., LaFeAsO) and cuprate (copper-oxide-based) families (e.g., YBa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O</w:t>
      </w:r>
      <w:r>
        <w:rPr>
          <w:rFonts w:ascii="Times New Roman" w:cs="Times New Roman" w:eastAsia="Times New Roman" w:hAnsi="Times New Roman"/>
          <w:i w:val="false"/>
          <w:iCs w:val="false"/>
          <w:sz w:val="24"/>
          <w:szCs w:val="24"/>
          <w:vertAlign w:val="subscript"/>
        </w:rPr>
        <w:t xml:space="preserve">7</w:t>
      </w:r>
      <w:r>
        <w:rPr>
          <w:rFonts w:ascii="Times New Roman" w:cs="Times New Roman" w:eastAsia="Times New Roman" w:hAnsi="Times New Roman"/>
          <w:sz w:val="24"/>
          <w:szCs w:val="24"/>
        </w:rPr>
        <w:t xml:space="preserve">), which anchor the historical landscape of high-temperature and conventional superconductivity </w:t>
      </w:r>
      <w:r>
        <w:rPr>
          <w:rFonts w:ascii="Times New Roman" w:cs="Times New Roman" w:eastAsia="Times New Roman" w:hAnsi="Times New Roman"/>
          <w:sz w:val="24"/>
          <w:szCs w:val="24"/>
        </w:rPr>
        <w:t xml:space="preserve">[18–22]</w:t>
      </w:r>
      <w:r>
        <w:rPr>
          <w:rFonts w:ascii="Times New Roman" w:cs="Times New Roman" w:eastAsia="Times New Roman" w:hAnsi="Times New Roman"/>
          <w:sz w:val="24"/>
          <w:szCs w:val="24"/>
        </w:rPr>
        <w:t xml:space="preserve">. Our goal across these families is concrete: to predict, from published literature alone, the field- and temperature-dependent critical current of compounds that have never been measured together, and to do so only where the data justify it.</w:t>
      </w:r>
    </w:p>
    <w:p>
      <w:pPr>
        <w:spacing w:after="0" w:line="480"/>
        <w:ind w:firstLine="431"/>
        <w:jc w:val="both"/>
      </w:pPr>
      <w:r>
        <w:rPr>
          <w:rFonts w:ascii="Times New Roman" w:cs="Times New Roman" w:eastAsia="Times New Roman" w:hAnsi="Times New Roman"/>
          <w:sz w:val="24"/>
          <w:szCs w:val="24"/>
        </w:rPr>
        <w:t xml:space="preserve">Our key finding is that a single cross-compound scaling law cannot organize critical-current prediction across the heterogeneous literature. Scaling by reduced temperature and reduced magnetic field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equivalently a variance-scale reduction of 24.3%. We set no numerical adoption threshold against those figures. The quantity that would define one, the gain from family-conditional aggregation, is measured on a different scale, as an out-of-sample error rather than a within-bin scatter, and it is not distinguishable from zero. Section III.D instead tests the scaling claim directly, against coordinates chosen to carry no physics. A family-conditional exponent model improves over a global-exponent model by only 0.009 dex in median holdout error, which is below bootstrap precision, so reduced-variable scaling adds no information beyond what substructure identity already provides. (One dex equals one decade on a base-10 logarithmic scale: a 1-dex error means the prediction differs from the true value by a factor of 10, and a 0.3-dex error corresponds to roughly a factor of 2.) The useful predictive scope is therefore set by substructure family and sample form. This repositions the role of AI here. The model does not pursue accuracy by pooling larger datasets. It first assesses where predictions are physically meaningful and predicts only in those contexts. The supporting experiment is a family-by-family variance-decomposition test, presented in Section III.A. Figure 1 summarizes the path from literature extraction to bounded prediction.</w:t>
      </w:r>
    </w:p>
    <w:p>
      <w:pPr>
        <w:spacing w:after="120" w:before="240"/>
        <w:jc w:val="center"/>
      </w:pPr>
      <w:r>
        <w:drawing>
          <wp:inline distT="0" distB="0" distL="0" distR="0">
            <wp:extent cx="5715000" cy="36094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09474"/>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Substructure-conditional critical-current prediction from heterogeneous literature. (a) The path from the retrieval corpus to the cohorts that carry each fitted quantity, with the count at every stage and the three screens a published curve passes on the way. (b) The per-axis expression, the three scopes at which its exponents are aggregated, prototype structures of the four substructure families, and the sample-form diagnostic that sets the conditioning rule the predictor follows; the conditioning claim itself rests on the temperature-axis separation of Sec. III.C rather than on that diagnostic, for the reasons given in Sec. III.A. (c) Three of the gates a prediction target passes to be dispatched, the reduced-variable scaling result, a family-scope envelope with its bootstrap interval, and the dispatch outcome. The workflow starts from a screened corpus of 934 retrieved articles and converts published critical-current measurements into curve-level records that preserve sample form, fixed temperature or field, and source-paper context. Fifty papers pass the fittability filters and contribute fitted curves across 35 compound labels, denoting 27 distinct composition keys in the reduction of Sec. II.D, and 3303 critical-current data points, of which 20 satisfy the stricter two-axis criterion, 23 before the eleven withdrawals. Fittable and partial-fit records are aggregated within substructure families and sample-form classes rather than pooled into a single universal model. The calibrated model evaluates 183 distinct candidate compounds and emits family-scope critical-current envelopes only when the validation gates are satisfied, including sufficient anchor data, monotonic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membership in a populated substructure family, and availability of the required critical scale. Of the 183 candidates, 84 are dispatched with at least one non-refused prediction target and 123 lie inside the calibration domain of Sec. III.E; the remainder are refused with an explicit reason code.</w:t>
      </w:r>
    </w:p>
    <w:p>
      <w:pPr>
        <w:pStyle w:val="Heading1"/>
        <w:spacing w:after="240" w:before="480"/>
        <w:jc w:val="center"/>
      </w:pPr>
      <w:r>
        <w:rPr>
          <w:rFonts w:ascii="Times New Roman" w:cs="Times New Roman" w:eastAsia="Times New Roman" w:hAnsi="Times New Roman"/>
          <w:b/>
          <w:bCs/>
          <w:color w:val="000000"/>
          <w:sz w:val="24"/>
          <w:szCs w:val="24"/>
        </w:rPr>
        <w:t xml:space="preserve">II. METHODS</w:t>
      </w:r>
    </w:p>
    <w:p>
      <w:pPr>
        <w:spacing w:after="0" w:line="480"/>
        <w:ind w:firstLine="431"/>
        <w:jc w:val="both"/>
      </w:pPr>
      <w:r>
        <w:rPr>
          <w:rFonts w:ascii="Times New Roman" w:cs="Times New Roman" w:eastAsia="Times New Roman" w:hAnsi="Times New Roman"/>
          <w:sz w:val="24"/>
          <w:szCs w:val="24"/>
        </w:rPr>
        <w:t xml:space="preserve">The methods follow the workflow of Figs. 1 and 2, in four steps. We extract curve-level records from the screened corpus (Sec. II.A), assign physical anchors and substructure labels (Sec. II.B), aggregate the fitted exponents within empirically validated scopes (Sec. II.C), and dispatch predictions only through explicit refusal gates (Sec. II.D).</w:t>
      </w:r>
    </w:p>
    <w:p>
      <w:pPr>
        <w:pStyle w:val="Heading2"/>
        <w:spacing w:after="200" w:before="360"/>
        <w:jc w:val="center"/>
      </w:pPr>
      <w:r>
        <w:rPr>
          <w:rFonts w:ascii="Times New Roman" w:cs="Times New Roman" w:eastAsia="Times New Roman" w:hAnsi="Times New Roman"/>
          <w:b/>
          <w:bCs/>
          <w:color w:val="000000"/>
          <w:sz w:val="24"/>
          <w:szCs w:val="24"/>
        </w:rPr>
        <w:t xml:space="preserve">A. Data extraction layer</w:t>
      </w:r>
    </w:p>
    <w:p>
      <w:pPr>
        <w:spacing w:after="0" w:line="480"/>
        <w:ind w:firstLine="431"/>
        <w:jc w:val="both"/>
      </w:pPr>
      <w:r>
        <w:rPr>
          <w:rFonts w:ascii="Times New Roman" w:cs="Times New Roman" w:eastAsia="Times New Roman" w:hAnsi="Times New Roman"/>
          <w:sz w:val="24"/>
          <w:szCs w:val="24"/>
        </w:rPr>
        <w:t xml:space="preserve">Literature-derived critical-current prediction requires retaining the full experimental context of each measurement: critical current density depends on sample form, microstructure, measurement geometry, temperature range, and magnetic-field range, so a useful data object cannot be reduced to a single value per compound. Here each record is a curve associated with a source paper, a physical sample, a sample form, and a fixed value of the other measurement axis. This design follows a broader scheme from scientific information extraction: literature-derived data become useful for modeling when both provenance (the identity of the source paper and the sample, recorded for every extracted measurement so that any downstream claim can be traced back to its original report) and measurement context (the temperature, magnetic field, sample form, and any reported doping or processing variables associated with the curve) are preserved throughout the pipeline </w:t>
      </w:r>
      <w:r>
        <w:rPr>
          <w:rFonts w:ascii="Times New Roman" w:cs="Times New Roman" w:eastAsia="Times New Roman" w:hAnsi="Times New Roman"/>
          <w:sz w:val="24"/>
          <w:szCs w:val="24"/>
        </w:rPr>
        <w:t xml:space="preserve">[23–26]</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i/>
          <w:iCs/>
          <w:sz w:val="24"/>
          <w:szCs w:val="24"/>
        </w:rPr>
        <w:t xml:space="preserve">Corpus and its provenance.</w:t>
      </w:r>
      <w:r>
        <w:rPr>
          <w:rFonts w:ascii="Times New Roman" w:cs="Times New Roman" w:eastAsia="Times New Roman" w:hAnsi="Times New Roman"/>
          <w:sz w:val="24"/>
          <w:szCs w:val="24"/>
        </w:rPr>
        <w:t xml:space="preserve"> The primary retrieval used two open scientific publishing APIs, Elsevier ScienceDirect and Springer Nature, queried for terms associated with critical-current measurements in type-II superconductors, including "critical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"upper critical field," "flux pinning," and "vortex pinning," combined with substructure-family keywords ("iron chalcogenide," "iron pnictide," "magnesium diboride," "cuprate," "YBCO," "BSCCO," and related). Retrieval is candidate-driven rather than exhaustive: the search targets papers most likely to report fittable critical-current curves, not every paper on superconductivity. Records are deduplicated by digital object identifier before downstream processing. The combined post-deduplication corpus contains 934 articles spanning the four decades from the discovery of high-temperature superconductivity in 1986 to the present.</w:t>
      </w:r>
    </w:p>
    <w:p>
      <w:pPr>
        <w:spacing w:after="0" w:line="480"/>
        <w:ind w:firstLine="431"/>
        <w:jc w:val="both"/>
      </w:pPr>
      <w:r>
        <w:rPr>
          <w:rFonts w:ascii="Times New Roman" w:cs="Times New Roman" w:eastAsia="Times New Roman" w:hAnsi="Times New Roman"/>
          <w:sz w:val="24"/>
          <w:szCs w:val="24"/>
        </w:rPr>
        <w:t>The fitted cohort is not drawn exclusively from those two publishers, and we state this explicitly because an earlier version of this manuscript implied otherwise. Eighteen of the 20 source papers behind the temperature-axis exponent cohort are arXiv preprints, and the field-axis cohort additionally includes nine records digitized from National High Magnetic Field Laboratory datasets. The Elsevier and Springer APIs supplied the retrieval and screening corpus; the fitted curves come from that corpus together with these preprint and facility sources. All source identifiers are enumerated in the data deposit.</w:t>
      </w:r>
    </w:p>
    <w:p>
      <w:pPr>
        <w:spacing w:after="0" w:line="480"/>
        <w:ind w:firstLine="431"/>
        <w:jc w:val="both"/>
      </w:pPr>
      <w:r>
        <w:rPr>
          <w:rFonts w:ascii="Times New Roman" w:cs="Times New Roman" w:eastAsia="Times New Roman" w:hAnsi="Times New Roman"/>
          <w:i/>
          <w:iCs/>
          <w:sz w:val="24"/>
          <w:szCs w:val="24"/>
        </w:rPr>
        <w:t xml:space="preserve">Effective dataset size.</w:t>
      </w:r>
      <w:r>
        <w:rPr>
          <w:rFonts w:ascii="Times New Roman" w:cs="Times New Roman" w:eastAsia="Times New Roman" w:hAnsi="Times New Roman"/>
          <w:sz w:val="24"/>
          <w:szCs w:val="24"/>
        </w:rPr>
        <w:t xml:space="preserve"> The figure "934 papers" describes the screened corpus, not the evidence base for any fitted quantity. The quantities used in this work rest on the smaller cohorts in Table I, which we give in full so that every claim below can be sized against its actual support.</w:t>
      </w:r>
    </w:p>
    <w:p>
      <w:pPr>
        <w:spacing w:after="140" w:before="360" w:line="240"/>
        <w:jc w:val="both"/>
      </w:pPr>
      <w:r>
        <w:rPr>
          <w:rFonts w:ascii="Times New Roman" w:cs="Times New Roman" w:eastAsia="Times New Roman" w:hAnsi="Times New Roman"/>
          <w:b/>
          <w:bCs/>
          <w:sz w:val="20"/>
          <w:szCs w:val="20"/>
        </w:rPr>
        <w:t xml:space="preserve">TABLE I.</w:t>
      </w:r>
      <w:r>
        <w:rPr>
          <w:rFonts w:ascii="Times New Roman" w:cs="Times New Roman" w:eastAsia="Times New Roman" w:hAnsi="Times New Roman"/>
          <w:sz w:val="20"/>
          <w:szCs w:val="20"/>
        </w:rPr>
        <w:t xml:space="preserve"> Effective dataset at each stage. The screened corpus is the retrieval scope; every fitted quantity rests on one of the smaller cohorts.</w:t>
      </w:r>
    </w:p>
    <w:tbl>
      <w:tblPr>
        <w:tblW w:type="dxa" w:w="9360"/>
        <w:tblBorders>
          <w:top w:val="double" w:sz="6"/>
          <w:left w:val="none" w:sz="0"/>
          <w:bottom w:val="double" w:sz="6"/>
          <w:right w:val="none" w:sz="0"/>
          <w:insideH w:val="none" w:sz="0"/>
          <w:insideV w:val="none" w:sz="0"/>
        </w:tblBorders>
      </w:tblPr>
      <w:tblGrid>
        <w:gridCol w:w="3400"/>
        <w:gridCol w:w="1200"/>
        <w:gridCol w:w="47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Stage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Count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What it supports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Screened corpus (post-deduplication)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934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Retrieval scope and corpus-level census statements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Papers contributing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exponent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Distinct compound labels with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35</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Family population counts. A label count, not a count of distinct materials; see Sec. II.D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Critical-current data points extracted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3303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Compounds with a computable aggregate fit (both axes)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Functional-form selection; universal-scaling test. Both were computed on the pre-withdrawal set of 23 and are reported as such where they appear</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Temperature-axis partial fits (β</w:t>
            </w:r>
            <w:r>
              <w:rPr>
                <w:rFonts w:ascii="Times New Roman" w:cs="Times New Roman" w:eastAsia="Times New Roman" w:hAnsi="Times New Roman"/>
                <w:i w:val="false"/>
                <w:iCs w:val="false"/>
                <w:sz w:val="19"/>
                <w:szCs w:val="19"/>
                <w:vertAlign w:val="subscript"/>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257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Temperature-exponent aggregation and validation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Field-axis partial fits passing physicality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Field-exponent aggregation, from 12 source papers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Per-paper anchors behind Fig. 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96</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Variance-decomposition diagnostic</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compounds evaluated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183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Dispatch and refusal accounting</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Each paper is screened against the applicability window of the Kramer-type power-law model used here. Writing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for the lowest measured temperature of a curve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max</w:t>
      </w:r>
      <w:r>
        <w:rPr>
          <w:rFonts w:ascii="Times New Roman" w:cs="Times New Roman" w:eastAsia="Times New Roman" w:hAnsi="Times New Roman"/>
          <w:sz w:val="24"/>
          <w:szCs w:val="24"/>
        </w:rPr>
        <w:t xml:space="preserve"> for the endpoints of its measured field range, a curve is admitted to the temperature axis or the field axis respectively when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f>
          <m:fPr>
            <m:type m:val="bar"/>
          </m:fPr>
          <m:num>
            <m:sSub>
              <m:e>
                <m:r>
                  <m:t>T</m:t>
                </m:r>
              </m:e>
              <m:sub>
                <m:r>
                  <m:rPr>
                    <m:sty m:val="p"/>
                  </m:rPr>
                  <m:t>min</m:t>
                </m:r>
              </m:sub>
            </m:sSub>
          </m:num>
          <m:den>
            <m:sSub>
              <m:e>
                <m:r>
                  <m:t>T</m:t>
                </m:r>
              </m:e>
              <m:sub>
                <m:r>
                  <m:t>c</m:t>
                </m:r>
              </m:sub>
            </m:sSub>
          </m:den>
        </m:f>
        <m:r>
          <m:rPr>
            <m:sty m:val="p"/>
          </m:rPr>
          <m:t>&lt;</m:t>
        </m:r>
        <m:r>
          <m:t>0.7</m:t>
        </m:r>
        <m:r>
          <m:t>  </m:t>
        </m:r>
        <m:r>
          <m:rPr>
            <m:nor/>
          </m:rPr>
          <m:t>and</m:t>
        </m:r>
        <m:r>
          <m:t>  </m:t>
        </m:r>
        <m:f>
          <m:fPr>
            <m:type m:val="bar"/>
          </m:fPr>
          <m:num>
            <m:sSub>
              <m:e>
                <m:r>
                  <m:t>H</m:t>
                </m:r>
              </m:e>
              <m:sub>
                <m:r>
                  <m:rPr>
                    <m:sty m:val="p"/>
                  </m:rPr>
                  <m:t>max</m:t>
                </m:r>
              </m:sub>
            </m:sSub>
            <m:r>
              <m:rPr>
                <m:sty m:val="p"/>
              </m:rPr>
              <m:t>−</m:t>
            </m:r>
            <m:sSub>
              <m:e>
                <m:r>
                  <m:t>H</m:t>
                </m:r>
              </m:e>
              <m:sub>
                <m:r>
                  <m:rPr>
                    <m:sty m:val="p"/>
                  </m:rPr>
                  <m:t>min</m:t>
                </m:r>
              </m:sub>
            </m:sSub>
          </m:num>
          <m:den>
            <m:sSub>
              <m:e>
                <m:r>
                  <m:t>H</m:t>
                </m:r>
              </m:e>
              <m:sub>
                <m:r>
                  <m:t>c</m:t>
                </m:r>
                <m:r>
                  <m:t>2</m:t>
                </m:r>
                <m:r>
                  <m:rPr>
                    <m:sty m:val="p"/>
                  </m:rPr>
                  <m:t>,</m:t>
                </m:r>
                <m:r>
                  <m:t>0</m:t>
                </m:r>
              </m:sub>
            </m:sSub>
          </m:den>
        </m:f>
        <m:r>
          <m:rPr>
            <m:sty m:val="p"/>
          </m:rPr>
          <m:t>&gt;</m:t>
        </m:r>
        <m:r>
          <m:t>0.3</m:t>
        </m:r>
      </m:oMath>
      <w:r>
        <w:rPr>
          <w:rFonts w:ascii="Times New Roman" w:cs="Times New Roman" w:eastAsia="Times New Roman" w:hAnsi="Times New Roman"/>
          <w:sz w:val="24"/>
          <w:szCs w:val="24"/>
        </w:rPr>
        <w:t xml:space="preserve">	(1)</w:t>
      </w:r>
    </w:p>
    <w:p>
      <w:pPr>
        <w:spacing w:after="0" w:line="480"/>
        <w:ind w:firstLine="431"/>
        <w:jc w:val="both"/>
      </w:pPr>
      <w:r>
        <w:rPr>
          <w:rFonts w:ascii="Times New Roman" w:cs="Times New Roman" w:eastAsia="Times New Roman" w:hAnsi="Times New Roman"/>
          <w:sz w:val="24"/>
          <w:szCs w:val="24"/>
        </w:rPr>
        <w:t xml:space="preserve">The temperature criterion uses the transition temperature, which is reported for essentially every curve in the corpus. The field criterion uses the upper critical field, which is not, and Section II.C states which realization of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criterion was evaluated against in practice. A partial fit is one in which the applicability window is satisfied on a single measurement axis but not both; it contributes that axis to the aggregation while the other axis remains uncharacterized for that record. The word respectively above names which condition belongs to which axis, not which conditions are imposed on it. In this revision both conditions are imposed on both axes. In the original submission the temperature condition was imposed on the temperature axis only, and applying it to the field axis as well removes 11 of the 63 fits that clear the field condition by itself, which is how the 52-fit field cohort of Sec. III.C is reached. Supplement Sec. 16 gives the disposition of all 94 field-axis fits individually. Papers outside the applicability window are excluded because missing temperature or field span prevents stable estimation of the exponent. Section III.F reports what happens when the field criterion is evaluated against the literature scale instead.</w:t>
      </w:r>
    </w:p>
    <w:p>
      <w:pPr>
        <w:spacing w:after="0" w:line="480"/>
        <w:ind w:firstLine="431"/>
        <w:jc w:val="both"/>
      </w:pPr>
      <w:r>
        <w:rPr>
          <w:rFonts w:ascii="Times New Roman" w:cs="Times New Roman" w:eastAsia="Times New Roman" w:hAnsi="Times New Roman"/>
          <w:i/>
          <w:iCs/>
          <w:sz w:val="24"/>
          <w:szCs w:val="24"/>
        </w:rPr>
        <w:t xml:space="preserve">Threshold-based screening.</w:t>
      </w:r>
      <w:r>
        <w:rPr>
          <w:rFonts w:ascii="Times New Roman" w:cs="Times New Roman" w:eastAsia="Times New Roman" w:hAnsi="Times New Roman"/>
          <w:sz w:val="24"/>
          <w:szCs w:val="24"/>
        </w:rPr>
        <w:t xml:space="preserve"> The partial-fit boundary serves a different purpose from the stricter full-fit criterion used for model-form selection. Full fits require measurements below 0.95 of the transition temperature and below 0.95 of the upper critical field, with at least 20 data points and at least three distinct temperature values. This separation lets the corpus support two linked tasks: the broader filter enables large-scale extraction from heterogeneous literature, while the stricter filter validates the functional form on compounds with two-axis coverage.</w:t>
      </w:r>
    </w:p>
    <w:p>
      <w:pPr>
        <w:spacing w:after="0" w:line="480"/>
        <w:ind w:firstLine="431"/>
        <w:jc w:val="both"/>
      </w:pPr>
      <w:r>
        <w:rPr>
          <w:rFonts w:ascii="Times New Roman" w:cs="Times New Roman" w:eastAsia="Times New Roman" w:hAnsi="Times New Roman"/>
          <w:i/>
          <w:iCs/>
          <w:sz w:val="24"/>
          <w:szCs w:val="24"/>
        </w:rPr>
        <w:t xml:space="preserve">AI-assisted extraction.</w:t>
      </w:r>
      <w:r>
        <w:rPr>
          <w:rFonts w:ascii="Times New Roman" w:cs="Times New Roman" w:eastAsia="Times New Roman" w:hAnsi="Times New Roman"/>
          <w:sz w:val="24"/>
          <w:szCs w:val="24"/>
        </w:rPr>
        <w:t xml:space="preserve"> Papers that pass the initial screen are processed with a vision-language extraction protocol. The protocol reads each critical-current plot, identifies the axes and scales, digitizes the data-point coordinates, and assigns metadata to each curve. Three disambiguation passes resolve common ambiguities in published figures: multiple samples plotted on a single panel, the fixed temperature or magnetic field assigned to each curve, and doping or processing variables reported by the source authors. The multimodal model is used as a plot-reading assistant for coordinate identification and axis labeling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All curve grouping, fitting, aggregation, validation, and prediction are performed by deterministic code, meaning standard Python scripts whose outputs are fully reproducible from the extracted data and fixed random seeds, with no further calls to a stochastic language model.</w:t>
      </w:r>
    </w:p>
    <w:p>
      <w:pPr>
        <w:spacing w:after="0" w:line="480"/>
        <w:ind w:firstLine="431"/>
        <w:jc w:val="both"/>
      </w:pPr>
      <w:r>
        <w:rPr>
          <w:rFonts w:ascii="Times New Roman" w:cs="Times New Roman" w:eastAsia="Times New Roman" w:hAnsi="Times New Roman"/>
          <w:i/>
          <w:iCs/>
          <w:sz w:val="24"/>
          <w:szCs w:val="24"/>
        </w:rPr>
        <w:t xml:space="preserve">Magnetic-field units.</w:t>
      </w:r>
      <w:r>
        <w:rPr>
          <w:rFonts w:ascii="Times New Roman" w:cs="Times New Roman" w:eastAsia="Times New Roman" w:hAnsi="Times New Roman"/>
          <w:sz w:val="24"/>
          <w:szCs w:val="24"/>
        </w:rPr>
        <w:t xml:space="preserve"> Published critical-current figures label the field axis in tesla, kilo-oersted, or gauss, and the conversion is a step the extraction protocol must perform explicitly. A dual-model audit of the printed axis label on every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-versus-field figure in the fitted cohort found five papers in which kilo-oersted had been recorded as tesla, a factor of ten. Two other papers printing kilo-oersted and gauss had been converted correctly, so unit handling was not deterministic in the original protocol. The five affected papers have been corrected, restoring 188 rows across 21 of the field-axis fits, and the corrected values are those used throughout this manuscript and in the data deposit. Unit verification is now a required and separately logged extraction step rather than an incidental part of axis reading.</w:t>
      </w:r>
    </w:p>
    <w:p>
      <w:pPr>
        <w:spacing w:after="0" w:line="480"/>
        <w:ind w:firstLine="431"/>
        <w:jc w:val="both"/>
      </w:pPr>
      <w:r>
        <w:rPr>
          <w:rFonts w:ascii="Times New Roman" w:cs="Times New Roman" w:eastAsia="Times New Roman" w:hAnsi="Times New Roman"/>
          <w:i/>
          <w:iCs/>
          <w:sz w:val="24"/>
          <w:szCs w:val="24"/>
        </w:rPr>
        <w:t xml:space="preserve">Cross-model verification.</w:t>
      </w:r>
      <w:r>
        <w:rPr>
          <w:rFonts w:ascii="Times New Roman" w:cs="Times New Roman" w:eastAsia="Times New Roman" w:hAnsi="Times New Roman"/>
          <w:sz w:val="24"/>
          <w:szCs w:val="24"/>
        </w:rPr>
        <w:t xml:space="preserve"> Because the extraction is model-assisted, we treat agreement between independent readers as a gate rather than as a convenience. The extraction is dual-model at the point of reading: every figure is read independently by two vision-language models developed by different organizations, on different architectures and training data, prompted separately and without access to each other's output, and instructed that "no such data in this paper" is a correct and expected answer. Verification is a separate third pass by a later model generation, run against the recorded output rather than against the figure alone. A value enters the dataset only where the two agree; disagreements are escalated to manual reading against the source figure. Applied retrospectively to the critical-field layer, this gate is what identified the provenance problem reported in Section III.F: for eight of sixteen audited papers, both models independently reported that no critical-field-versus-temperature figure exists, while the pipeline held extracted critical-field values for all eight. We describe the gate here because it is part of the method, and because a model-assisted extraction pipeline that does not implement one has no mechanism for detecting this class of failure.</w:t>
      </w:r>
    </w:p>
    <w:p>
      <w:pPr>
        <w:spacing w:after="0" w:line="480"/>
        <w:ind w:firstLine="431"/>
        <w:jc w:val="both"/>
      </w:pPr>
      <w:r>
        <w:rPr>
          <w:rFonts w:ascii="Times New Roman" w:cs="Times New Roman" w:eastAsia="Times New Roman" w:hAnsi="Times New Roman"/>
          <w:i/>
          <w:iCs/>
          <w:sz w:val="24"/>
          <w:szCs w:val="24"/>
        </w:rPr>
        <w:t xml:space="preserve">Output.</w:t>
      </w:r>
      <w:r>
        <w:rPr>
          <w:rFonts w:ascii="Times New Roman" w:cs="Times New Roman" w:eastAsia="Times New Roman" w:hAnsi="Times New Roman"/>
          <w:sz w:val="24"/>
          <w:szCs w:val="24"/>
        </w:rPr>
        <w:t xml:space="preserve"> The final extraction output is a row-level table containing the source paper, sample form, sample identifier, fixed-axis value, and any source-attributed doping or annealing variable. The extraction yields 662 vision-pass cache entries across the fittable and partial-fit literature. The grouping key is the tuple of source paper, sample form, sample identifier, and fixed-axis value, so each fit is tied to a single physical sample measured under a fixed-axis condition. This constraint keeps sample-form variation separate from compound-identity variation, which is essential for the conditioned predictor developed below.</w:t>
      </w:r>
    </w:p>
    <w:p>
      <w:pPr>
        <w:pStyle w:val="Heading2"/>
        <w:spacing w:after="200" w:before="360"/>
        <w:jc w:val="center"/>
      </w:pPr>
      <w:r>
        <w:rPr>
          <w:rFonts w:ascii="Times New Roman" w:cs="Times New Roman" w:eastAsia="Times New Roman" w:hAnsi="Times New Roman"/>
          <w:b/>
          <w:bCs/>
          <w:color w:val="000000"/>
          <w:sz w:val="24"/>
          <w:szCs w:val="24"/>
        </w:rPr>
        <w:t xml:space="preserve">B. Anchor assignment and substructure labels</w:t>
      </w:r>
    </w:p>
    <w:p>
      <w:pPr>
        <w:spacing w:after="0" w:line="480"/>
        <w:ind w:firstLine="431"/>
        <w:jc w:val="both"/>
      </w:pPr>
      <w:r>
        <w:rPr>
          <w:rFonts w:ascii="Times New Roman" w:cs="Times New Roman" w:eastAsia="Times New Roman" w:hAnsi="Times New Roman"/>
          <w:sz w:val="24"/>
          <w:szCs w:val="24"/>
        </w:rPr>
        <w:t xml:space="preserve">Each fitted curve requires a transition-temperature anchor and an upper-critical-field anchor. These are assigned through a provenance hierarchy. Paper-reported values for the measured sample have highest priority, because they preserve the closest link between the fitted curve and the experimental specimen. Where paper-specific values are unavailable, values are drawn from a compiled reference table. Parent-compound matches are used only with explicit deviation flags: examples include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variants such as carbon- or aluminum-substituted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cation-variant 122-type compounds such as (Ba</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K</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reference table warrants a precise description, since an earlier version of this manuscript called it "curated substructure reference values" without qualification. It contains 53 entries. Twenty-six carry a literature citation. Eighteen are estimated from family trends rather than taken from a specific measurement. Five come from a materials registry, and four are fixed reference values adopted for high-population compounds. The estimated tier is concentrated in exactly the compounds where the literature is thinnest, and Section III.D reports a sensitivity analysis that perturbs those entries to test whether any conclusion depends on them.</w:t>
      </w:r>
    </w:p>
    <w:p>
      <w:pPr>
        <w:spacing w:after="0" w:line="480"/>
        <w:ind w:firstLine="431"/>
        <w:jc w:val="both"/>
      </w:pPr>
      <w:r>
        <w:rPr>
          <w:rFonts w:ascii="Times New Roman" w:cs="Times New Roman" w:eastAsia="Times New Roman" w:hAnsi="Times New Roman"/>
          <w:sz w:val="24"/>
          <w:szCs w:val="24"/>
        </w:rPr>
        <w:t xml:space="preserve">Two further properties of this layer should be stated at the outset. First, upper critical fields in anisotropic superconductors are orientation-dependent, often strongly: for Fe(Te,Se) the reported values differ by more than a factor of two between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ab</w:t>
      </w:r>
      <w:r>
        <w:rPr>
          <w:rFonts w:ascii="Times New Roman" w:cs="Times New Roman" w:eastAsia="Times New Roman" w:hAnsi="Times New Roman"/>
          <w:sz w:val="24"/>
          <w:szCs w:val="24"/>
        </w:rPr>
        <w:t xml:space="preserve">. Field orientation is captured as free text in the extraction table for 26 records but is not propagated into the fits, whereas several of the reference anchors are orientation-resolved. The anchors and the measurements are therefore not guaranteed to describe the same field configuration. Second, the irreversibility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and the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are distinct quantities, with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&lt;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in general </w:t>
      </w: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t xml:space="preserve">, and published figures do not always label which is plotted. Both issues are quantified in Section III.F.</w:t>
      </w:r>
    </w:p>
    <w:p>
      <w:pPr>
        <w:spacing w:after="0" w:line="480"/>
        <w:ind w:firstLine="431"/>
        <w:jc w:val="both"/>
      </w:pPr>
      <w:r>
        <w:rPr>
          <w:rFonts w:ascii="Times New Roman" w:cs="Times New Roman" w:eastAsia="Times New Roman" w:hAnsi="Times New Roman"/>
          <w:sz w:val="24"/>
          <w:szCs w:val="24"/>
        </w:rPr>
        <w:t>Substructure labels are assigned from stoichiometry and crystal system, linking each compound to a physically meaningful family before any cross-compound aggregation. The leave-one-substructure-out (LOSO) analysis holds out an entire substructure family at a time, fits the predictor on the remaining families, and tests generalization across substructure boundaries. It uses seven populated families: iron chalcogenide 11-type, iron pnictide 122-type, iron pnictide 1111-type, three cuprate substructures, and the MgB2-class conventional family.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We use LOSO rather than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cross-validation, and within-substructure leave-one-compound-out (LOCO) rather than random holdouts, because the relevant generalization question is not how the model performs on a random subset of measurements but how it performs on a family or compound it has never seen.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pooling can place measurements of the same compound in both training and test folds, which overstates generalization for a literature-derived predictor.</w:t>
      </w:r>
    </w:p>
    <w:p>
      <w:pPr>
        <w:spacing w:after="0" w:line="480"/>
        <w:ind w:firstLine="431"/>
        <w:jc w:val="both"/>
      </w:pPr>
      <w:r>
        <w:rPr>
          <w:rFonts w:ascii="Times New Roman" w:cs="Times New Roman" w:eastAsia="Times New Roman" w:hAnsi="Times New Roman"/>
          <w:i/>
          <w:iCs/>
          <w:sz w:val="24"/>
          <w:szCs w:val="24"/>
        </w:rPr>
        <w:t xml:space="preserve">Compound naming.</w:t>
      </w:r>
      <w:r>
        <w:rPr>
          <w:rFonts w:ascii="Times New Roman" w:cs="Times New Roman" w:eastAsia="Times New Roman" w:hAnsi="Times New Roman"/>
          <w:sz w:val="24"/>
          <w:szCs w:val="24"/>
        </w:rPr>
        <w:t xml:space="preserve"> Compositional descriptors, space group, and crystal-system labels are retrieved through DOI-resolved matching to Materials Project and 3DSC_MP records </w:t>
      </w:r>
      <w:r>
        <w:rPr>
          <w:rFonts w:ascii="Times New Roman" w:cs="Times New Roman" w:eastAsia="Times New Roman" w:hAnsi="Times New Roman"/>
          <w:sz w:val="24"/>
          <w:szCs w:val="24"/>
        </w:rPr>
        <w:t xml:space="preserve">[3, 6]</w:t>
      </w:r>
      <w:r>
        <w:rPr>
          <w:rFonts w:ascii="Times New Roman" w:cs="Times New Roman" w:eastAsia="Times New Roman" w:hAnsi="Times New Roman"/>
          <w:sz w:val="24"/>
          <w:szCs w:val="24"/>
        </w:rPr>
        <w:t xml:space="preserve">, and the pipeline therefore carries Materials Project reduced formulas internally. These differ from conventional superconductivity nomenclature. In this manuscript we use conventional names throughout; Table S3 of the Supplemental Material gives the full mapping, of which representative entries are LaFeAsO for La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O,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Ba(FeAs)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KFe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K(FeAs)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FeTe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Se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 for 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TeSe, La</w:t>
      </w:r>
      <w:r>
        <w:rPr>
          <w:rFonts w:ascii="Times New Roman" w:cs="Times New Roman" w:eastAsia="Times New Roman" w:hAnsi="Times New Roman"/>
          <w:i w:val="false"/>
          <w:iCs w:val="false"/>
          <w:sz w:val="24"/>
          <w:szCs w:val="24"/>
          <w:vertAlign w:val="subscript"/>
        </w:rPr>
        <w:t xml:space="preserve">2−x</w:t>
      </w:r>
      <w:r>
        <w:rPr>
          <w:rFonts w:ascii="Times New Roman" w:cs="Times New Roman" w:eastAsia="Times New Roman" w:hAnsi="Times New Roman"/>
          <w:sz w:val="24"/>
          <w:szCs w:val="24"/>
        </w:rPr>
        <w:t xml:space="preserve">Sr</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for SrLaCuO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and Bi-2223 for Sr2Ca2Cu3(BiO5)2. One consequence should be stated plainly, because it bears on how Table I is read: the count of 35 in Table I is a count of these labels and not of distinct materials. Rows extracted through the registry carry the registry formula and rows extracted from the published paper carry the paper's stoichiometry, so the same material can appear under two labels, as Pr2FeAs2O and PrFeAsO0.6F0.12 do for one specimen set from one paper, while a single label can cover samples with different dopants and different transition temperatures, as Ba(FeAs)2 at 38 K and BaFe2As2 at 20 K do. Reducing the 35 labels to distinct combinations of substructure family, element set, and dopant marker leaves 27 composition keys; the reduction is mechanical and errs in both directions, merging Fe9Se8 with FeSe and separating PrFeAsO0.6F0.12 from Pr2FeAs2O, so 27 is reported as the output of a stated rule rather than as a material count. No aggregation in this work groups by label: exponents are aggregated by substructure family and sample form. The one analysis for which a label is the unit is the compound leave-one-out, and its two cohorts differ. The temperature-axis cohort holds nine labels denoting nine different compositions. The field-axis cohort holds ten, of which FeSe_Te_doped and FeTe0.5Se0.5 name the same Fe(Se,Te) material in two papers, so a compound held out under one label is not fully held out; the field axis is not validated at family level in this revision and no claim rests on it.</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C. Aggregation architecture</w:t>
      </w:r>
    </w:p>
    <w:p>
      <w:pPr>
        <w:spacing w:after="0" w:line="480"/>
        <w:ind w:firstLine="431"/>
        <w:jc w:val="both"/>
      </w:pPr>
      <w:r>
        <w:rPr>
          <w:rFonts w:ascii="Times New Roman" w:cs="Times New Roman" w:eastAsia="Times New Roman" w:hAnsi="Times New Roman"/>
          <w:sz w:val="24"/>
          <w:szCs w:val="24"/>
        </w:rPr>
        <w:t xml:space="preserve">With each fitted curve assigned to a substructure family and anchored to physical reference values, the aggregation step can proceed. The method separates three operations that must remain distinct in a literature-scale prediction problem. First, scaling exponents are extracted from physically grouped curves within each paper. Second, those exponents are aggregated only across compounds that share empirically supported conditioning variables, such as substructure family and sample form. Third, the model emits a prediction only when the target compound lies inside the validated scope. This produces a calibrated family-level critical-current surface and prevents a sparse, heterogeneous dataset from being forced into an unsupported per-compound ranking problem.</w:t>
      </w:r>
    </w:p>
    <w:p>
      <w:pPr>
        <w:spacing w:after="0" w:line="480"/>
        <w:ind w:firstLine="431"/>
        <w:jc w:val="both"/>
      </w:pPr>
      <w:r>
        <w:rPr>
          <w:rFonts w:ascii="Times New Roman" w:cs="Times New Roman" w:eastAsia="Times New Roman" w:hAnsi="Times New Roman"/>
          <w:sz w:val="24"/>
          <w:szCs w:val="24"/>
        </w:rPr>
        <w:t xml:space="preserve">All stages use the same per-axis power-law expression, referred to throughout as </w:t>
      </w:r>
      <w:r>
        <w:rPr>
          <w:rFonts w:ascii="Times New Roman" w:cs="Times New Roman" w:eastAsia="Times New Roman" w:hAnsi="Times New Roman"/>
          <w:b/>
          <w:bCs/>
          <w:sz w:val="24"/>
          <w:szCs w:val="24"/>
        </w:rPr>
        <w:t xml:space="preserve">Form 3</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d>
          <m:dPr>
            <m:begChr m:val="("/>
            <m:sepChr m:val=""/>
            <m:endChr m:val=")"/>
            <m:grow/>
          </m:dPr>
          <m:e>
            <m:r>
              <m:t>x</m:t>
            </m:r>
          </m:e>
        </m:d>
        <m:r>
          <m:rPr>
            <m:sty m:val="p"/>
          </m:rPr>
          <m:t>=</m:t>
        </m:r>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x</m:t>
                </m:r>
              </m:num>
              <m:den>
                <m:sSub>
                  <m:e>
                    <m:r>
                      <m:t>x</m:t>
                    </m:r>
                  </m:e>
                  <m:sub>
                    <m:r>
                      <m:t>c</m:t>
                    </m:r>
                  </m:sub>
                </m:sSub>
              </m:den>
            </m:f>
          </m:e>
        </m:d>
      </m:oMath>
      <w:r>
        <w:rPr>
          <w:rFonts w:ascii="Times New Roman" w:cs="Times New Roman" w:eastAsia="Times New Roman" w:hAnsi="Times New Roman"/>
          <w:sz w:val="24"/>
          <w:szCs w:val="24"/>
        </w:rPr>
        <w:t xml:space="preserve">	(2)</w:t>
      </w:r>
    </w:p>
    <w:p>
      <w:pPr>
        <w:spacing w:after="0" w:line="480"/>
        <w:ind w:firstLine="431"/>
        <w:jc w:val="both"/>
      </w:pPr>
      <w:r>
        <w:rPr>
          <w:rFonts w:ascii="Times New Roman" w:cs="Times New Roman" w:eastAsia="Times New Roman" w:hAnsi="Times New Roman"/>
          <w:sz w:val="24"/>
          <w:szCs w:val="24"/>
        </w:rPr>
        <w:t xml:space="preserve">Here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denotes either temperature or applied magnetic field, and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corresponding critical scale. A </w:t>
      </w:r>
      <w:r>
        <w:rPr>
          <w:rFonts w:ascii="Times New Roman" w:cs="Times New Roman" w:eastAsia="Times New Roman" w:hAnsi="Times New Roman"/>
          <w:b/>
          <w:bCs/>
          <w:sz w:val="24"/>
          <w:szCs w:val="24"/>
        </w:rPr>
        <w:t xml:space="preserve">scaling exponent</w:t>
      </w:r>
      <w:r>
        <w:rPr>
          <w:rFonts w:ascii="Times New Roman" w:cs="Times New Roman" w:eastAsia="Times New Roman" w:hAnsi="Times New Roman"/>
          <w:sz w:val="24"/>
          <w:szCs w:val="24"/>
        </w:rPr>
        <w:t xml:space="preserve"> β is the fitted power to which the reduced distance from the critical scale is raised; it is a dimensionless number, and errors in it are dimensionless, not logarithmic. For temperature-axis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T</w:t>
      </w:r>
      <w:r>
        <w:rPr>
          <w:rFonts w:ascii="Times New Roman" w:cs="Times New Roman" w:eastAsia="Times New Roman" w:hAnsi="Times New Roman"/>
          <w:sz w:val="24"/>
          <w:szCs w:val="24"/>
        </w:rPr>
        <w:t xml:space="preserve">, which controls how steeply the critical current falls as temperature approaches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For field-axis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upper critical field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H</w:t>
      </w:r>
      <w:r>
        <w:rPr>
          <w:rFonts w:ascii="Times New Roman" w:cs="Times New Roman" w:eastAsia="Times New Roman" w:hAnsi="Times New Roman"/>
          <w:sz w:val="24"/>
          <w:szCs w:val="24"/>
        </w:rPr>
        <w:t xml:space="preserve">, which controls how steeply the critical current falls with applied field. </w:t>
      </w:r>
      <w:r>
        <w:rPr>
          <w:rFonts w:ascii="Times New Roman" w:cs="Times New Roman" w:eastAsia="Times New Roman" w:hAnsi="Times New Roman"/>
          <w:b/>
          <w:bCs/>
          <w:sz w:val="24"/>
          <w:szCs w:val="24"/>
        </w:rPr>
        <w:t xml:space="preserve">log</w:t>
      </w:r>
      <w:r>
        <w:rPr>
          <w:rFonts w:ascii="Times New Roman" w:cs="Times New Roman" w:eastAsia="Times New Roman" w:hAnsi="Times New Roman"/>
          <w:b/>
          <w:bCs/>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*J</w:t>
      </w:r>
      <w:r>
        <w:rPr>
          <w:rFonts w:ascii="Times New Roman" w:cs="Times New Roman" w:eastAsia="Times New Roman" w:hAnsi="Times New Roman"/>
          <w:b/>
          <w:bCs/>
          <w:i w:val="false"/>
          <w:iCs w:val="false"/>
          <w:sz w:val="24"/>
          <w:szCs w:val="24"/>
          <w:vertAlign w:val="subscript"/>
        </w:rPr>
        <w:t xml:space="preserve">c,partial</w:t>
      </w:r>
      <w:r>
        <w:rPr>
          <w:rFonts w:ascii="Times New Roman" w:cs="Times New Roman" w:eastAsia="Times New Roman" w:hAnsi="Times New Roman"/>
          <w:sz w:val="24"/>
          <w:szCs w:val="24"/>
        </w:rPr>
        <w:t xml:space="preserve">* is the intercept, the extrapolated critical current at zero reduced field or zero reduced temperature on the fitted axis. The two axes are fitted independently.</w:t>
      </w:r>
    </w:p>
    <w:p>
      <w:pPr>
        <w:spacing w:after="0" w:line="480"/>
        <w:ind w:firstLine="431"/>
        <w:jc w:val="both"/>
      </w:pPr>
      <w:r>
        <w:rPr>
          <w:rFonts w:ascii="Times New Roman" w:cs="Times New Roman" w:eastAsia="Times New Roman" w:hAnsi="Times New Roman"/>
          <w:sz w:val="24"/>
          <w:szCs w:val="24"/>
        </w:rPr>
        <w:t xml:space="preserve">The two axes are fitted independently. Equation (2) follows the reduced-scale logic of the classical Kramer and pinning-force descriptions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in which the critical current is written against the reduced distance from a critical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Sup>
          <m:e>
            <m:r>
              <m:t>J</m:t>
            </m:r>
          </m:e>
          <m:sub>
            <m:r>
              <m:t>c</m:t>
            </m:r>
          </m:sub>
          <m:sup>
            <m:r>
              <m:t>1</m:t>
            </m:r>
            <m:r>
              <m:rPr>
                <m:sty m:val="p"/>
              </m:rPr>
              <m:t>/</m:t>
            </m:r>
            <m:r>
              <m:t>2</m:t>
            </m:r>
          </m:sup>
        </m:sSubSup>
        <m:r>
          <m:t> </m:t>
        </m:r>
        <m:sSup>
          <m:e>
            <m:r>
              <m:t>H</m:t>
            </m:r>
          </m:e>
          <m:sup>
            <m:r>
              <m:t>1</m:t>
            </m:r>
            <m:r>
              <m:rPr>
                <m:sty m:val="p"/>
              </m:rPr>
              <m:t>/</m:t>
            </m:r>
            <m:r>
              <m:t>4</m:t>
            </m:r>
          </m:sup>
        </m:sSup>
        <m:r>
          <m:rPr>
            <m:sty m:val="p"/>
          </m:rPr>
          <m:t>=</m:t>
        </m:r>
        <m:r>
          <m:t>A</m:t>
        </m:r>
        <m:r>
          <m:t>​</m:t>
        </m:r>
        <m:d>
          <m:dPr>
            <m:begChr m:val="("/>
            <m:sepChr m:val=""/>
            <m:endChr m:val=")"/>
            <m:grow/>
          </m:dPr>
          <m:e>
            <m:r>
              <m:t>1</m:t>
            </m:r>
            <m:r>
              <m:rPr>
                <m:sty m:val="p"/>
              </m:rPr>
              <m:t>−</m:t>
            </m:r>
            <m:f>
              <m:fPr>
                <m:type m:val="bar"/>
              </m:fPr>
              <m:num>
                <m:r>
                  <m:t>H</m:t>
                </m:r>
              </m:num>
              <m:den>
                <m:sSub>
                  <m:e>
                    <m:r>
                      <m:t>H</m:t>
                    </m:r>
                  </m:e>
                  <m:sub>
                    <m:r>
                      <m:rPr>
                        <m:sty m:val="p"/>
                      </m:rPr>
                      <m:t>i</m:t>
                    </m:r>
                    <m:r>
                      <m:rPr>
                        <m:sty m:val="p"/>
                      </m:rPr>
                      <m:t>r</m:t>
                    </m:r>
                    <m:r>
                      <m:rPr>
                        <m:sty m:val="p"/>
                      </m:rPr>
                      <m:t>r</m:t>
                    </m:r>
                  </m:sub>
                </m:sSub>
              </m:den>
            </m:f>
          </m:e>
        </m:d>
        <m:r>
          <m:rPr>
            <m:sty m:val="p"/>
          </m:rPr>
          <m:t>,</m:t>
        </m:r>
        <m:r>
          <m:t>  </m:t>
        </m:r>
        <m:sSub>
          <m:e>
            <m:r>
              <m:t>F</m:t>
            </m:r>
          </m:e>
          <m:sub>
            <m:r>
              <m:t>p</m:t>
            </m:r>
          </m:sub>
        </m:sSub>
        <m:r>
          <m:rPr>
            <m:sty m:val="p"/>
          </m:rPr>
          <m:t>=</m:t>
        </m:r>
        <m:sSub>
          <m:e>
            <m:r>
              <m:t>μ</m:t>
            </m:r>
          </m:e>
          <m:sub>
            <m:r>
              <m:t>0</m:t>
            </m:r>
          </m:sub>
        </m:sSub>
        <m:r>
          <m:t>H</m:t>
        </m:r>
        <m:sSub>
          <m:e>
            <m:r>
              <m:t>J</m:t>
            </m:r>
          </m:e>
          <m:sub>
            <m:r>
              <m:t>c</m:t>
            </m:r>
          </m:sub>
        </m:sSub>
        <m:r>
          <m:rPr>
            <m:sty m:val="p"/>
          </m:rPr>
          <m:t>∝</m:t>
        </m:r>
        <m:sSup>
          <m:e>
            <m:r>
              <m:t>h</m:t>
            </m:r>
          </m:e>
          <m:sup>
            <m:r>
              <m:t> </m:t>
            </m:r>
            <m:r>
              <m:t>p</m:t>
            </m:r>
          </m:sup>
        </m:sSup>
        <m:r>
          <m:t> </m:t>
        </m:r>
        <m:sSup>
          <m:e>
            <m:d>
              <m:dPr>
                <m:begChr m:val="("/>
                <m:sepChr m:val=""/>
                <m:endChr m:val=")"/>
                <m:grow/>
              </m:dPr>
              <m:e>
                <m:r>
                  <m:t>1</m:t>
                </m:r>
                <m:r>
                  <m:rPr>
                    <m:sty m:val="p"/>
                  </m:rPr>
                  <m:t>−</m:t>
                </m:r>
                <m:r>
                  <m:t>h</m:t>
                </m:r>
              </m:e>
            </m:d>
          </m:e>
          <m:sup>
            <m:r>
              <m:t> </m:t>
            </m:r>
            <m:r>
              <m:t>q</m:t>
            </m:r>
          </m:sup>
        </m:sSup>
        <m:r>
          <m:rPr>
            <m:sty m:val="p"/>
          </m:rPr>
          <m:t>,</m:t>
        </m:r>
        <m:r>
          <m:t> </m:t>
        </m:r>
        <m:r>
          <m:t>h</m:t>
        </m:r>
        <m:r>
          <m:rPr>
            <m:sty m:val="p"/>
          </m:rPr>
          <m:t>=</m:t>
        </m:r>
        <m:f>
          <m:fPr>
            <m:type m:val="bar"/>
          </m:fPr>
          <m:num>
            <m:r>
              <m:t>H</m:t>
            </m:r>
          </m:num>
          <m:den>
            <m:sSub>
              <m:e>
                <m:r>
                  <m:t>H</m:t>
                </m:r>
              </m:e>
              <m:sub>
                <m:r>
                  <m:rPr>
                    <m:sty m:val="p"/>
                  </m:rPr>
                  <m:t>i</m:t>
                </m:r>
                <m:r>
                  <m:rPr>
                    <m:sty m:val="p"/>
                  </m:rPr>
                  <m:t>r</m:t>
                </m:r>
                <m:r>
                  <m:rPr>
                    <m:sty m:val="p"/>
                  </m:rPr>
                  <m:t>r</m:t>
                </m:r>
              </m:sub>
            </m:sSub>
          </m:den>
        </m:f>
      </m:oMath>
      <w:r>
        <w:rPr>
          <w:rFonts w:ascii="Times New Roman" w:cs="Times New Roman" w:eastAsia="Times New Roman" w:hAnsi="Times New Roman"/>
          <w:sz w:val="24"/>
          <w:szCs w:val="24"/>
        </w:rPr>
        <w:t xml:space="preserve">	(3)</w:t>
      </w:r>
    </w:p>
    <w:p>
      <w:pPr>
        <w:spacing w:after="0" w:line="480"/>
        <w:ind w:firstLine="431"/>
        <w:jc w:val="both"/>
      </w:pPr>
      <w:r>
        <w:rPr>
          <w:rFonts w:ascii="Times New Roman" w:cs="Times New Roman" w:eastAsia="Times New Roman" w:hAnsi="Times New Roman"/>
          <w:sz w:val="24"/>
          <w:szCs w:val="24"/>
        </w:rPr>
        <w:t xml:space="preserve">with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 scale constant,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the irreversibility field,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p</w:t>
      </w:r>
      <w:r>
        <w:rPr>
          <w:rFonts w:ascii="Times New Roman" w:cs="Times New Roman" w:eastAsia="Times New Roman" w:hAnsi="Times New Roman"/>
          <w:sz w:val="24"/>
          <w:szCs w:val="24"/>
        </w:rPr>
        <w:t xml:space="preserve"> the volume pinning force, and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the pinning-mechanism exponents. Equation (2) retains the reduced-scale structure of these expressions while replacing the mechanism-specific exponents with a single fitted β per axis. It is therefore an empirical aggregation form for heterogeneous literature rather than a microscopic theory of vortex pinning, and we do not interpret β as a pinning-mechanism exponent.</w:t>
      </w:r>
    </w:p>
    <w:p>
      <w:pPr>
        <w:spacing w:after="0" w:line="480"/>
        <w:ind w:firstLine="431"/>
        <w:jc w:val="both"/>
      </w:pPr>
      <w:r>
        <w:rPr>
          <w:rFonts w:ascii="Times New Roman" w:cs="Times New Roman" w:eastAsia="Times New Roman" w:hAnsi="Times New Roman"/>
          <w:i/>
          <w:iCs/>
          <w:sz w:val="24"/>
          <w:szCs w:val="24"/>
        </w:rPr>
        <w:t xml:space="preserve">The field term uses a temperature-independent critical scale, by design.</w:t>
      </w:r>
      <w:r>
        <w:rPr>
          <w:rFonts w:ascii="Times New Roman" w:cs="Times New Roman" w:eastAsia="Times New Roman" w:hAnsi="Times New Roman"/>
          <w:sz w:val="24"/>
          <w:szCs w:val="24"/>
        </w:rPr>
        <w:t xml:space="preserve"> In Eq. (2), the field-axis critical scale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zero-temperature upper critical field, and it does not vary with the measurement temperature.</w:t>
      </w:r>
    </w:p>
    <w:p>
      <w:pPr>
        <w:spacing w:after="0" w:line="480"/>
        <w:ind w:firstLine="431"/>
        <w:jc w:val="both"/>
      </w:pPr>
      <w:r>
        <w:rPr>
          <w:rFonts w:ascii="Times New Roman" w:cs="Times New Roman" w:eastAsia="Times New Roman" w:hAnsi="Times New Roman"/>
          <w:sz w:val="24"/>
          <w:szCs w:val="24"/>
        </w:rPr>
        <w:t xml:space="preserve">The upper critical field is strongly temperature-dependent. In the dirty limit its behavior follows the Werthamer-Helfand-Hohenberg relation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ψ the digamma function,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reduced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r>
          <m:rPr>
            <m:sty m:val="p"/>
          </m:rPr>
          <m:t>ln</m:t>
        </m:r>
        <m:f>
          <m:fPr>
            <m:type m:val="bar"/>
          </m:fPr>
          <m:num>
            <m:r>
              <m:t>1</m:t>
            </m:r>
          </m:num>
          <m:den>
            <m:r>
              <m:t>t</m:t>
            </m:r>
          </m:den>
        </m:f>
        <m:r>
          <m:rPr>
            <m:sty m:val="p"/>
          </m:rPr>
          <m:t>=</m:t>
        </m:r>
        <m:r>
          <m:t>ψ</m:t>
        </m:r>
        <m:r>
          <m:t>​</m:t>
        </m:r>
        <m:d>
          <m:dPr>
            <m:begChr m:val="("/>
            <m:sepChr m:val=""/>
            <m:endChr m:val=")"/>
            <m:grow/>
          </m:dPr>
          <m:e>
            <m:f>
              <m:fPr>
                <m:type m:val="bar"/>
              </m:fPr>
              <m:num>
                <m:r>
                  <m:t>1</m:t>
                </m:r>
              </m:num>
              <m:den>
                <m:r>
                  <m:t>2</m:t>
                </m:r>
              </m:den>
            </m:f>
            <m:r>
              <m:rPr>
                <m:sty m:val="p"/>
              </m:rPr>
              <m:t>+</m:t>
            </m:r>
            <m:f>
              <m:fPr>
                <m:type m:val="bar"/>
              </m:fPr>
              <m:num>
                <m:acc>
                  <m:accPr>
                    <m:chr m:val="‾"/>
                  </m:accPr>
                  <m:e>
                    <m:r>
                      <m:t>h</m:t>
                    </m:r>
                  </m:e>
                </m:acc>
              </m:num>
              <m:den>
                <m:r>
                  <m:t>2</m:t>
                </m:r>
                <m:r>
                  <m:t>t</m:t>
                </m:r>
              </m:den>
            </m:f>
          </m:e>
        </m:d>
        <m:r>
          <m:rPr>
            <m:sty m:val="p"/>
          </m:rPr>
          <m:t>−</m:t>
        </m:r>
        <m:r>
          <m:t>ψ</m:t>
        </m:r>
        <m:r>
          <m:t>​</m:t>
        </m:r>
        <m:d>
          <m:dPr>
            <m:begChr m:val="("/>
            <m:sepChr m:val=""/>
            <m:endChr m:val=")"/>
            <m:grow/>
          </m:dPr>
          <m:e>
            <m:f>
              <m:fPr>
                <m:type m:val="bar"/>
              </m:fPr>
              <m:num>
                <m:r>
                  <m:t>1</m:t>
                </m:r>
              </m:num>
              <m:den>
                <m:r>
                  <m:t>2</m:t>
                </m:r>
              </m:den>
            </m:f>
          </m:e>
        </m:d>
        <m:r>
          <m:rPr>
            <m:sty m:val="p"/>
          </m:rPr>
          <m:t>,</m:t>
        </m:r>
        <m:r>
          <m:t> </m:t>
        </m:r>
        <m:acc>
          <m:accPr>
            <m:chr m:val="‾"/>
          </m:accPr>
          <m:e>
            <m:r>
              <m:t>h</m:t>
            </m:r>
          </m:e>
        </m:acc>
        <m:r>
          <m:rPr>
            <m:sty m:val="p"/>
          </m:rPr>
          <m:t>=</m:t>
        </m:r>
        <m:f>
          <m:fPr>
            <m:type m:val="bar"/>
          </m:fPr>
          <m:num>
            <m:r>
              <m:t>4</m:t>
            </m:r>
          </m:num>
          <m:den>
            <m:sSup>
              <m:e>
                <m:r>
                  <m:t>π</m:t>
                </m:r>
              </m:e>
              <m:sup>
                <m:r>
                  <m:t>2</m:t>
                </m:r>
              </m:sup>
            </m:sSup>
          </m:den>
        </m:f>
        <m:r>
          <m:t> </m:t>
        </m:r>
        <m:f>
          <m:fPr>
            <m:type m:val="bar"/>
          </m:fPr>
          <m:num>
            <m:sSub>
              <m:e>
                <m:r>
                  <m:t>H</m:t>
                </m:r>
              </m:e>
              <m:sub>
                <m:r>
                  <m:t>c</m:t>
                </m:r>
                <m:r>
                  <m:t>2</m:t>
                </m:r>
              </m:sub>
            </m:sSub>
            <m:d>
              <m:dPr>
                <m:begChr m:val="("/>
                <m:sepChr m:val=""/>
                <m:endChr m:val=")"/>
                <m:grow/>
              </m:dPr>
              <m:e>
                <m:r>
                  <m:t>T</m:t>
                </m:r>
              </m:e>
            </m:d>
          </m:num>
          <m:den>
            <m:sSub>
              <m:e>
                <m:r>
                  <m:t>T</m:t>
                </m:r>
              </m:e>
              <m:sub>
                <m:r>
                  <m:t>c</m:t>
                </m:r>
              </m:sub>
            </m:sSub>
            <m:r>
              <m:t> </m:t>
            </m:r>
            <m:sSub>
              <m:e>
                <m:d>
                  <m:dPr>
                    <m:begChr m:val="|"/>
                    <m:sepChr m:val=""/>
                    <m:endChr m:val="|"/>
                    <m:grow/>
                  </m:dPr>
                  <m:e>
                    <m:r>
                      <m:t>d</m:t>
                    </m:r>
                    <m:sSub>
                      <m:e>
                        <m:r>
                          <m:t>H</m:t>
                        </m:r>
                      </m:e>
                      <m:sub>
                        <m:r>
                          <m:t>c</m:t>
                        </m:r>
                        <m:r>
                          <m:t>2</m:t>
                        </m:r>
                      </m:sub>
                    </m:sSub>
                    <m:r>
                      <m:rPr>
                        <m:sty m:val="p"/>
                      </m:rPr>
                      <m:t>/</m:t>
                    </m:r>
                    <m:r>
                      <m:t>d</m:t>
                    </m:r>
                    <m:r>
                      <m:t>T</m:t>
                    </m:r>
                  </m:e>
                </m:d>
              </m:e>
              <m:sub>
                <m:sSub>
                  <m:e>
                    <m:r>
                      <m:t>T</m:t>
                    </m:r>
                  </m:e>
                  <m:sub>
                    <m:r>
                      <m:t>c</m:t>
                    </m:r>
                  </m:sub>
                </m:sSub>
              </m:sub>
            </m:sSub>
          </m:den>
        </m:f>
        <m:r>
          <m:rPr>
            <m:sty m:val="p"/>
          </m:rPr>
          <m:t>,</m:t>
        </m:r>
        <m:r>
          <m:t> </m:t>
        </m:r>
        <m:sSub>
          <m:e>
            <m:r>
              <m:t>H</m:t>
            </m:r>
          </m:e>
          <m:sub>
            <m:r>
              <m:t>c</m:t>
            </m:r>
            <m:r>
              <m:t>2</m:t>
            </m:r>
          </m:sub>
        </m:sSub>
        <m:d>
          <m:dPr>
            <m:begChr m:val="("/>
            <m:sepChr m:val=""/>
            <m:endChr m:val=")"/>
            <m:grow/>
          </m:dPr>
          <m:e>
            <m:r>
              <m:t>0</m:t>
            </m:r>
          </m:e>
        </m:d>
        <m:r>
          <m:rPr>
            <m:sty m:val="p"/>
          </m:rPr>
          <m:t>=</m:t>
        </m:r>
        <m:r>
          <m:t>0.693</m:t>
        </m:r>
        <m:r>
          <m:t> </m:t>
        </m:r>
        <m:sSub>
          <m:e>
            <m:r>
              <m:t>T</m:t>
            </m:r>
          </m:e>
          <m:sub>
            <m:r>
              <m:t>c</m:t>
            </m:r>
          </m:sub>
        </m:sSub>
        <m:sSub>
          <m:e>
            <m:d>
              <m:dPr>
                <m:begChr m:val="|"/>
                <m:sepChr m:val=""/>
                <m:endChr m:val="|"/>
                <m:grow/>
              </m:dPr>
              <m:e>
                <m:f>
                  <m:fPr>
                    <m:type m:val="bar"/>
                  </m:fPr>
                  <m:num>
                    <m:r>
                      <m:t>d</m:t>
                    </m:r>
                    <m:sSub>
                      <m:e>
                        <m:r>
                          <m:t>H</m:t>
                        </m:r>
                      </m:e>
                      <m:sub>
                        <m:r>
                          <m:t>c</m:t>
                        </m:r>
                        <m:r>
                          <m:t>2</m:t>
                        </m:r>
                      </m:sub>
                    </m:sSub>
                  </m:num>
                  <m:den>
                    <m:r>
                      <m:t>d</m:t>
                    </m:r>
                    <m:r>
                      <m:t>T</m:t>
                    </m:r>
                  </m:den>
                </m:f>
              </m:e>
            </m:d>
          </m:e>
          <m:sub>
            <m:sSub>
              <m:e>
                <m:r>
                  <m:t>T</m:t>
                </m:r>
              </m:e>
              <m:sub>
                <m:r>
                  <m:t>c</m:t>
                </m:r>
              </m:sub>
            </m:sSub>
          </m:sub>
        </m:sSub>
      </m:oMath>
      <w:r>
        <w:rPr>
          <w:rFonts w:ascii="Times New Roman" w:cs="Times New Roman" w:eastAsia="Times New Roman" w:hAnsi="Times New Roman"/>
          <w:sz w:val="24"/>
          <w:szCs w:val="24"/>
        </w:rPr>
        <w:t xml:space="preserve">	(4)</w:t>
      </w:r>
    </w:p>
    <w:p>
      <w:pPr>
        <w:spacing w:after="0" w:line="480"/>
        <w:ind w:firstLine="431"/>
        <w:jc w:val="both"/>
      </w:pPr>
      <w:r>
        <w:rPr>
          <w:rFonts w:ascii="Times New Roman" w:cs="Times New Roman" w:eastAsia="Times New Roman" w:hAnsi="Times New Roman"/>
          <w:sz w:val="24"/>
          <w:szCs w:val="24"/>
        </w:rPr>
        <w:t xml:space="preserve">Over the reduced-temperature range spanned by this corpus the WHH curve falls by roughly a factor of seven, so holding the field scale fixed across measurement temperatures is not a small approximation. A field-axis fit performed at fixed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across a range of measurement temperatures therefore does not cleanly separate the temperature and field dependences. Form 3 makes this simplification deliberately, and we state it explicitly because it is the point at which the expression departs from established physics.</w:t>
      </w:r>
    </w:p>
    <w:p>
      <w:pPr>
        <w:spacing w:after="0" w:line="480"/>
        <w:ind w:firstLine="431"/>
        <w:jc w:val="both"/>
      </w:pPr>
      <w:r>
        <w:rPr>
          <w:rFonts w:ascii="Times New Roman" w:cs="Times New Roman" w:eastAsia="Times New Roman" w:hAnsi="Times New Roman"/>
          <w:sz w:val="24"/>
          <w:szCs w:val="24"/>
        </w:rPr>
        <w:t xml:space="preserve">The expression was chosen from three candidate forms, written here in full so that the comparison reported below can be read directly. All three are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space, and α = 0.047 is a fixed field-decay coefficient carried over from the existing calibration: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α</m:t>
        </m:r>
        <m:r>
          <m:t> </m:t>
        </m:r>
        <m:sSub>
          <m:e>
            <m:r>
              <m:rPr>
                <m:sty m:val="p"/>
              </m:rPr>
              <m:t>log</m:t>
            </m:r>
          </m:e>
          <m:sub>
            <m:r>
              <m:t>10</m:t>
            </m:r>
          </m:sub>
        </m:sSub>
        <m:r>
          <m:rPr>
            <m:sty m:val="p"/>
          </m:rPr>
          <m:t>max</m:t>
        </m:r>
        <m:d>
          <m:dPr>
            <m:begChr m:val="("/>
            <m:sepChr m:val=""/>
            <m:endChr m:val=")"/>
            <m:grow/>
          </m:dPr>
          <m:e>
            <m:r>
              <m:t>H</m:t>
            </m:r>
            <m:r>
              <m:rPr>
                <m:sty m:val="p"/>
              </m:rPr>
              <m:t>,</m:t>
            </m:r>
            <m:r>
              <m:t>ε</m:t>
            </m:r>
          </m:e>
        </m:d>
      </m:oMath>
      <w:r>
        <w:rPr>
          <w:rFonts w:ascii="Times New Roman" w:cs="Times New Roman" w:eastAsia="Times New Roman" w:hAnsi="Times New Roman"/>
          <w:sz w:val="24"/>
          <w:szCs w:val="24"/>
        </w:rPr>
        <w:t xml:space="preserve">	(5)</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γ</m:t>
        </m:r>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sub>
                </m:sSub>
                <m:d>
                  <m:dPr>
                    <m:begChr m:val="("/>
                    <m:sepChr m:val=""/>
                    <m:endChr m:val=")"/>
                    <m:grow/>
                  </m:dPr>
                  <m:e>
                    <m:r>
                      <m:t>T</m:t>
                    </m:r>
                  </m:e>
                </m:d>
              </m:den>
            </m:f>
          </m:e>
        </m:d>
        <m:r>
          <m:rPr>
            <m:sty m:val="p"/>
          </m:rPr>
          <m:t>,</m:t>
        </m:r>
        <m:r>
          <m:t> </m:t>
        </m:r>
        <m:sSub>
          <m:e>
            <m:r>
              <m:t>H</m:t>
            </m:r>
          </m:e>
          <m:sub>
            <m:r>
              <m:t>c</m:t>
            </m:r>
            <m:r>
              <m:t>2</m:t>
            </m:r>
          </m:sub>
        </m:sSub>
        <m:d>
          <m:dPr>
            <m:begChr m:val="("/>
            <m:sepChr m:val=""/>
            <m:endChr m:val=")"/>
            <m:grow/>
          </m:dPr>
          <m:e>
            <m:r>
              <m:t>T</m:t>
            </m:r>
          </m:e>
        </m:d>
        <m:r>
          <m:rPr>
            <m:sty m:val="p"/>
          </m:rPr>
          <m:t>=</m:t>
        </m:r>
        <m:sSub>
          <m:e>
            <m:r>
              <m:t>H</m:t>
            </m:r>
          </m:e>
          <m:sub>
            <m:r>
              <m:t>c</m:t>
            </m:r>
            <m:r>
              <m:t>2</m:t>
            </m:r>
            <m:r>
              <m:rPr>
                <m:sty m:val="p"/>
              </m:rPr>
              <m:t>,</m:t>
            </m:r>
            <m:r>
              <m:t>0</m:t>
            </m:r>
          </m:sub>
        </m:sSub>
        <m:r>
          <m:t>​</m:t>
        </m:r>
        <m:d>
          <m:dPr>
            <m:begChr m:val="("/>
            <m:sepChr m:val=""/>
            <m:endChr m:val=")"/>
            <m:grow/>
          </m:dPr>
          <m:e>
            <m:r>
              <m:t>1</m:t>
            </m:r>
            <m:r>
              <m:rPr>
                <m:sty m:val="p"/>
              </m:rPr>
              <m:t>−</m:t>
            </m:r>
            <m:f>
              <m:fPr>
                <m:type m:val="bar"/>
              </m:fPr>
              <m:num>
                <m:r>
                  <m:t>T</m:t>
                </m:r>
              </m:num>
              <m:den>
                <m:sSub>
                  <m:e>
                    <m:r>
                      <m:t>T</m:t>
                    </m:r>
                  </m:e>
                  <m:sub>
                    <m:r>
                      <m:t>c</m:t>
                    </m:r>
                  </m:sub>
                </m:sSub>
              </m:den>
            </m:f>
          </m:e>
        </m:d>
      </m:oMath>
      <w:r>
        <w:rPr>
          <w:rFonts w:ascii="Times New Roman" w:cs="Times New Roman" w:eastAsia="Times New Roman" w:hAnsi="Times New Roman"/>
          <w:sz w:val="24"/>
          <w:szCs w:val="24"/>
        </w:rPr>
        <w:t xml:space="preserve">	(6)</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sSub>
          <m:e>
            <m:r>
              <m:t>β</m:t>
            </m:r>
          </m:e>
          <m:sub>
            <m:r>
              <m:t>T</m:t>
            </m:r>
          </m:sub>
        </m:sSub>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sSub>
          <m:e>
            <m:r>
              <m:t>β</m:t>
            </m:r>
          </m:e>
          <m:sub>
            <m:r>
              <m:t>H</m:t>
            </m:r>
          </m:sub>
        </m:sSub>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r>
                      <m:rPr>
                        <m:sty m:val="p"/>
                      </m:rPr>
                      <m:t>,</m:t>
                    </m:r>
                    <m:r>
                      <m:t>0</m:t>
                    </m:r>
                  </m:sub>
                </m:sSub>
              </m:den>
            </m:f>
          </m:e>
        </m:d>
      </m:oMath>
      <w:r>
        <w:rPr>
          <w:rFonts w:ascii="Times New Roman" w:cs="Times New Roman" w:eastAsia="Times New Roman" w:hAnsi="Times New Roman"/>
          <w:sz w:val="24"/>
          <w:szCs w:val="24"/>
        </w:rPr>
        <w:t xml:space="preserve">	(7)</w:t>
      </w:r>
    </w:p>
    <w:p>
      <w:pPr>
        <w:spacing w:after="0" w:line="480"/>
        <w:ind w:firstLine="431"/>
        <w:jc w:val="both"/>
      </w:pPr>
      <w:r>
        <w:rPr>
          <w:rFonts w:ascii="Times New Roman" w:cs="Times New Roman" w:eastAsia="Times New Roman" w:hAnsi="Times New Roman"/>
          <w:sz w:val="24"/>
          <w:szCs w:val="24"/>
        </w:rPr>
        <w:t xml:space="preserve">Form 1 uses a Kim-Anderson-inspired field decay </w:t>
      </w: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with the decay coefficient held fixed. Form 2 introduces a reduced field with a linear approximation to the temperature-dependent upper critical field. Form 3 fits independent temperature and field exponents against a temperature-independent field scale. We adopt Form 3 because it is the only one of the three that separates the temperature and field dependences into exponents that can be fitted and reported on each axis independently, which every later stage of this work requires. The holdout comparison supports that choice against Form 1 and does not separate it from Form 2. Scoring the three forms on identical training and holdout rows, over twenty random splits per compound, Form 3 has the lower error on 14 of 15 compounds against Form 1 under a point-level split and on 11 of 13 under a curve-level split, at exact two-sided sign probabilities of 0.001 and 0.022. Against Form 2 it leads on 11 of 15 and on 9 of 13, at 0.118 and 0.267, which is not a separation. The values in Table II, 0.597, 0.352 and 0.260 dex, were computed with a separate random split for each form and over different numbers of compounds; on the compounds all three forms can score, the margin between Forms 2 and 3 is 0.012 dex rather than 0.092. Under a source-paper holdout, in which every measurement of a held-out source is withheld, no form reaches a median error below 0.9 dex on the eight compounds drawing on more than one source. The comparison is regenerated by analysis/functional_form_comparison.py from the deposited input.</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p>
    <w:p>
      <w:pPr>
        <w:spacing w:after="140" w:before="360" w:line="240"/>
        <w:jc w:val="both"/>
      </w:pPr>
      <w:r>
        <w:rPr>
          <w:rFonts w:ascii="Times New Roman" w:cs="Times New Roman" w:eastAsia="Times New Roman" w:hAnsi="Times New Roman"/>
          <w:b/>
          <w:bCs/>
          <w:sz w:val="20"/>
          <w:szCs w:val="20"/>
        </w:rPr>
        <w:t xml:space="preserve">TABLE II. Functional-form comparison on the fully fittable cohort. Median per-compound holdout mean absolute error in log10 Jc, from an 80/20 point-level split drawn within each compound. The splits were drawn separately for each form, so the three columns are not scored on the same held-out points, and the point-level split places measurements of one compound in both the training and the held-out set. Sec. II.C gives the comparison on identical rows and under holdouts that withhold whole curves and whole sources.</w:t>
      </w:r>
      <w:r>
        <w:rPr>
          <w:rFonts w:ascii="Times New Roman" w:cs="Times New Roman" w:eastAsia="Times New Roman" w:hAnsi="Times New Roman"/>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p>
    <w:tbl>
      <w:tblPr>
        <w:tblW w:type="dxa" w:w="9360"/>
        <w:tblBorders>
          <w:top w:val="double" w:sz="6"/>
          <w:left w:val="none" w:sz="0"/>
          <w:bottom w:val="double" w:sz="6"/>
          <w:right w:val="none" w:sz="0"/>
          <w:insideH w:val="none" w:sz="0"/>
          <w:insideV w:val="none" w:sz="0"/>
        </w:tblBorders>
      </w:tblPr>
      <w:tblGrid>
        <w:gridCol w:w="900"/>
        <w:gridCol w:w="2800"/>
        <w:gridCol w:w="2200"/>
        <w:gridCol w:w="1300"/>
        <w:gridCol w:w="21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Form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term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Holdout MAE (dex)</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Status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1</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−α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max(</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 ε), α fixed at 0.047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0.597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γ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linear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0.352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β</w:t>
            </w:r>
            <w:r>
              <w:rPr>
                <w:rFonts w:ascii="Times New Roman" w:cs="Times New Roman" w:eastAsia="Times New Roman" w:hAnsi="Times New Roman"/>
                <w:i w:val="false"/>
                <w:iCs w:val="false"/>
                <w:sz w:val="19"/>
                <w:szCs w:val="19"/>
                <w:vertAlign w:val="subscript"/>
              </w:rPr>
              <w:t xml:space="preserve">H</w:t>
            </w:r>
            <w:r>
              <w:rPr>
                <w:rFonts w:ascii="Times New Roman" w:cs="Times New Roman" w:eastAsia="Times New Roman" w:hAnsi="Times New Roman"/>
                <w:sz w:val="19"/>
                <w:szCs w:val="19"/>
              </w:rPr>
              <w:t xml:space="preserve">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 temperature-independent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0.260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Adopted; Eq. (2)</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Form 3 was selected for the separability set out above rather than on the margin in Table II, which is evaluated per compound and not per paper on the fully fittable cohort. The consequence, that the fitted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absorbs part of the temperature dependence it was meant to be separated from, is characterized in Section III.F.</w:t>
      </w:r>
    </w:p>
    <w:p>
      <w:pPr>
        <w:spacing w:after="0" w:line="480"/>
        <w:ind w:firstLine="431"/>
        <w:jc w:val="both"/>
      </w:pPr>
      <w:r>
        <w:rPr>
          <w:rFonts w:ascii="Times New Roman" w:cs="Times New Roman" w:eastAsia="Times New Roman" w:hAnsi="Times New Roman"/>
          <w:i/>
          <w:iCs/>
          <w:sz w:val="24"/>
          <w:szCs w:val="24"/>
        </w:rPr>
        <w:t xml:space="preserve">Two implementations of the field-axis critical scale.</w:t>
      </w:r>
      <w:r>
        <w:rPr>
          <w:rFonts w:ascii="Times New Roman" w:cs="Times New Roman" w:eastAsia="Times New Roman" w:hAnsi="Times New Roman"/>
          <w:sz w:val="24"/>
          <w:szCs w:val="24"/>
        </w:rPr>
        <w:t xml:space="preserve"> Equation (2) is realized twice in the analysis pipeline against different definitions of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distinction matters for reading the results. The functional-form comparison and universal-scaling test of Section III.D take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directly from the compiled reference table described in Section II.B, as the design specifies. The per-paper partial-fit path instead resolves a field value at each measurement temperature from whatever critical-field series the source paper provides, falling back to a per-substructure ratio and then to a flat reference value. The two are identical for the 61 of 159 fits that fall back to the literature default, and the resolved quantity is a median factor of 6.4 smaller than the literature Hc2,0 across the 98 fits for which a paper-derived value was resolved.</w:t>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Results derived through each path are labeled accordingly in Section III, and the applicability filter of Section II.A was evaluated against the resolved quantity rather than against the literature scale, with the consequences reported in Section III.F.</w:t>
      </w:r>
    </w:p>
    <w:p>
      <w:pPr>
        <w:pStyle w:val="Heading2"/>
        <w:spacing w:after="200" w:before="360"/>
        <w:jc w:val="center"/>
      </w:pPr>
      <w:r>
        <w:rPr>
          <w:rFonts w:ascii="Times New Roman" w:cs="Times New Roman" w:eastAsia="Times New Roman" w:hAnsi="Times New Roman"/>
          <w:b/>
          <w:bCs/>
          <w:color w:val="000000"/>
          <w:sz w:val="24"/>
          <w:szCs w:val="24"/>
        </w:rPr>
        <w:t xml:space="preserve">D. Runtime architecture and refusal logic</w:t>
      </w:r>
    </w:p>
    <w:p>
      <w:pPr>
        <w:spacing w:after="0" w:line="480"/>
        <w:ind w:firstLine="431"/>
        <w:jc w:val="both"/>
      </w:pPr>
      <w:r>
        <w:rPr>
          <w:rFonts w:ascii="Times New Roman" w:cs="Times New Roman" w:eastAsia="Times New Roman" w:hAnsi="Times New Roman"/>
          <w:sz w:val="24"/>
          <w:szCs w:val="24"/>
        </w:rPr>
        <w:t xml:space="preserve">The workflow converts heterogeneous literature into predictions through six linked stages: corpus assembly and fittability filtering; curve-level extraction of data and metadata from each source figure; </w:t>
      </w:r>
      <w:r>
        <w:rPr>
          <w:rFonts w:ascii="Times New Roman" w:cs="Times New Roman" w:eastAsia="Times New Roman" w:hAnsi="Times New Roman"/>
          <w:b/>
          <w:bCs/>
          <w:sz w:val="24"/>
          <w:szCs w:val="24"/>
        </w:rPr>
        <w:t xml:space="preserve">resolution of the critical scales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for each fitted curve; per-axis exponent fitting at the level of physically grouped curves; aggregation of fitted exponents within substructure families and, when justified by the variance diagnostic, within sample-form classes; and dispatch through validation gates. We name the critical-scale resolution stage explicitly in the architecture because it is a distinct step with its own provenance and its own failure modes, and it was not visible as a separate stage in the earlier presentation of this work. Figure 2 shows the runtime architecture.</w:t>
      </w:r>
    </w:p>
    <w:p>
      <w:pPr>
        <w:spacing w:after="0" w:line="480"/>
        <w:ind w:firstLine="431"/>
        <w:jc w:val="both"/>
      </w:pPr>
      <w:r>
        <w:rPr>
          <w:rFonts w:ascii="Times New Roman" w:cs="Times New Roman" w:eastAsia="Times New Roman" w:hAnsi="Times New Roman"/>
          <w:i/>
          <w:iCs/>
          <w:sz w:val="24"/>
          <w:szCs w:val="24"/>
        </w:rPr>
        <w:t xml:space="preserve">Three scopes, not three models.</w:t>
      </w:r>
      <w:r>
        <w:rPr>
          <w:rFonts w:ascii="Times New Roman" w:cs="Times New Roman" w:eastAsia="Times New Roman" w:hAnsi="Times New Roman"/>
          <w:sz w:val="24"/>
          <w:szCs w:val="24"/>
        </w:rPr>
        <w:t xml:space="preserve"> Sections III.A and III.E refer to Stage 1, Stage 2, and Stage 3. These are not three competing models. They are three prediction scopes over the same fitted exponents, selected by what is known about the target and by the variance diagnostic. Stage 1 regresses the exponent against a compositional descriptor and is used for rank signal and substructure classification, not as a final predictor. Stage 2 uses the median exponent within a (substructure, sample form) cell and is used when the candidate's sample form is known and that cell is populated. Stage 3 uses the substructure-level median with the within-family interquartile range retained as uncertainty, and is used when the sample form is unknown or the cell is too sparse. The variance diagnostic decides, per family, whether Stage 2 is justified at all.</w:t>
      </w:r>
    </w:p>
    <w:p>
      <w:pPr>
        <w:spacing w:after="0" w:line="480"/>
        <w:ind w:firstLine="431"/>
        <w:jc w:val="both"/>
      </w:pPr>
      <w:r>
        <w:rPr>
          <w:rFonts w:ascii="Times New Roman" w:cs="Times New Roman" w:eastAsia="Times New Roman" w:hAnsi="Times New Roman"/>
          <w:i/>
          <w:iCs/>
          <w:sz w:val="24"/>
          <w:szCs w:val="24"/>
        </w:rPr>
        <w:t xml:space="preserve">Inference for an unseen compound.</w:t>
      </w:r>
      <w:r>
        <w:rPr>
          <w:rFonts w:ascii="Times New Roman" w:cs="Times New Roman" w:eastAsia="Times New Roman" w:hAnsi="Times New Roman"/>
          <w:sz w:val="24"/>
          <w:szCs w:val="24"/>
        </w:rPr>
        <w:t xml:space="preserve"> For a candidate compound with no critical-current measurements, the procedure is: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Assign the substructure family from stoichiometry and crystal system. If the family is unpopulated or the classification is ambiguous,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Obtain the transition-temperature anchor, and the upper-critical-field anchor if a field-axis prediction is requested. If the required anchor is unavailable, refuse that prediction target.</w:t>
      </w:r>
    </w:p>
    <w:p>
      <w:pPr>
        <w:pStyle w:val="ListParagraph"/>
        <w:numPr>
          <w:ilvl w:val="0"/>
          <w:numId w:val="2"/>
        </w:numPr>
        <w:spacing w:after="0" w:line="480"/>
        <w:jc w:val="both"/>
      </w:pPr>
      <w:r>
        <w:rPr>
          <w:rFonts w:ascii="Times New Roman" w:cs="Times New Roman" w:eastAsia="Times New Roman" w:hAnsi="Times New Roman"/>
          <w:sz w:val="24"/>
          <w:szCs w:val="24"/>
        </w:rPr>
        <w:t>Check that at least K = 3 anchor measurements are available for the candidate.</w:t>
      </w:r>
      <w:r>
        <w:rPr>
          <w:rFonts w:ascii="Times New Roman" w:cs="Times New Roman" w:eastAsia="Times New Roman" w:hAnsi="Times New Roman"/>
          <w:i/>
          <w:iCs/>
          <w:sz w:val="24"/>
          <w:szCs w:val="24"/>
        </w:rPr>
      </w:r>
      <w:r>
        <w:rPr>
          <w:rFonts w:ascii="Times New Roman" w:cs="Times New Roman" w:eastAsia="Times New Roman" w:hAnsi="Times New Roman"/>
          <w:sz w:val="24"/>
          <w:szCs w:val="24"/>
        </w:rPr>
        <w:t xml:space="preserve"> If not,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Read the variance-decomposition regime for that family to select Stage 2 or Stage 3.</w:t>
      </w:r>
    </w:p>
    <w:p>
      <w:pPr>
        <w:pStyle w:val="ListParagraph"/>
        <w:numPr>
          <w:ilvl w:val="0"/>
          <w:numId w:val="2"/>
        </w:numPr>
        <w:spacing w:after="0" w:line="480"/>
        <w:jc w:val="both"/>
      </w:pPr>
      <w:r>
        <w:rPr>
          <w:rFonts w:ascii="Times New Roman" w:cs="Times New Roman" w:eastAsia="Times New Roman" w:hAnsi="Times New Roman"/>
          <w:sz w:val="24"/>
          <w:szCs w:val="24"/>
        </w:rPr>
        <w:t xml:space="preserve">Take the median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median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median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from the selected cell.</w:t>
      </w:r>
    </w:p>
    <w:p>
      <w:pPr>
        <w:pStyle w:val="ListParagraph"/>
        <w:numPr>
          <w:ilvl w:val="0"/>
          <w:numId w:val="2"/>
        </w:numPr>
        <w:spacing w:after="0" w:line="480"/>
        <w:jc w:val="both"/>
      </w:pPr>
      <w:r>
        <w:rPr>
          <w:rFonts w:ascii="Times New Roman" w:cs="Times New Roman" w:eastAsia="Times New Roman" w:hAnsi="Times New Roman"/>
          <w:sz w:val="24"/>
          <w:szCs w:val="24"/>
        </w:rPr>
        <w:t xml:space="preserve">Evaluate Eq. (2) at the requested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and propagate uncertainty in quadrature over the three fitted terms.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Apply the remaining gates: target temperature below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monotonic predicted temperature dependence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If either fails, refuse with the corresponding reason code. Then screen the surviving prediction against the substructure calibration range, discarding any candidate whose anchors place the target far enough outside the calibrated interval that the aggregate exponent extrapolates to an unphysical magnitude, as described in Section III.E.</w:t>
      </w:r>
    </w:p>
    <w:p>
      <w:pPr>
        <w:spacing w:after="0" w:line="480"/>
        <w:ind w:firstLine="431"/>
        <w:jc w:val="both"/>
      </w:pPr>
      <w:r>
        <w:rPr>
          <w:rFonts w:ascii="Times New Roman" w:cs="Times New Roman" w:eastAsia="Times New Roman" w:hAnsi="Times New Roman"/>
          <w:sz w:val="24"/>
          <w:szCs w:val="24"/>
        </w:rPr>
        <w:t xml:space="preserve">Steps 5 and 6 use family-level quantities only. No step introduces information specific to the candidate compound other than its family membership and its anchors, which is the structural fact analyzed in Section III.E.</w:t>
      </w:r>
    </w:p>
    <w:p>
      <w:pPr>
        <w:spacing w:after="0" w:line="480"/>
        <w:ind w:firstLine="431"/>
        <w:jc w:val="both"/>
      </w:pPr>
      <w:r>
        <w:rPr>
          <w:rFonts w:ascii="Times New Roman" w:cs="Times New Roman" w:eastAsia="Times New Roman" w:hAnsi="Times New Roman"/>
          <w:sz w:val="24"/>
          <w:szCs w:val="24"/>
        </w:rPr>
        <w:t xml:space="preserve">The refusal logic connects the physics problem to selective prediction. Classical reject-option learning improves reliability by allowing a model to abstain outside its confident operating range </w:t>
      </w:r>
      <w:r>
        <w:rPr>
          <w:rFonts w:ascii="Times New Roman" w:cs="Times New Roman" w:eastAsia="Times New Roman" w:hAnsi="Times New Roman"/>
          <w:sz w:val="24"/>
          <w:szCs w:val="24"/>
        </w:rPr>
        <w:t xml:space="preserve">[31–33]</w:t>
      </w:r>
      <w:r>
        <w:rPr>
          <w:rFonts w:ascii="Times New Roman" w:cs="Times New Roman" w:eastAsia="Times New Roman" w:hAnsi="Times New Roman"/>
          <w:sz w:val="24"/>
          <w:szCs w:val="24"/>
        </w:rPr>
        <w:t xml:space="preserve">, and conformal prediction provides a complementary formalism for calibrated abstention under exchangeability assumptions </w:t>
      </w:r>
      <w:r>
        <w:rPr>
          <w:rFonts w:ascii="Times New Roman" w:cs="Times New Roman" w:eastAsia="Times New Roman" w:hAnsi="Times New Roman"/>
          <w:sz w:val="24"/>
          <w:szCs w:val="24"/>
        </w:rPr>
        <w:t xml:space="preserve">[34, 35]</w:t>
      </w:r>
      <w:r>
        <w:rPr>
          <w:rFonts w:ascii="Times New Roman" w:cs="Times New Roman" w:eastAsia="Times New Roman" w:hAnsi="Times New Roman"/>
          <w:sz w:val="24"/>
          <w:szCs w:val="24"/>
        </w:rPr>
        <w:t xml:space="preserve">. Here that principle is implemented through physics-derived gates and empirical validation thresholds. Refusal codes identify the failed condition: insufficient anchor density, non-monotonic critical-current behavior, unpopulated substructure membership, missing upper-critical-field anchor, and target temperature above the transition temperature. The refusal system is part of the model definition, setting the physical and statistical scope over which predictions are valid.</w:t>
      </w:r>
    </w:p>
    <w:p>
      <w:pPr>
        <w:spacing w:after="120" w:before="240"/>
        <w:jc w:val="center"/>
      </w:pPr>
      <w:r>
        <w:drawing>
          <wp:inline distT="0" distB="0" distL="0" distR="0">
            <wp:extent cx="5715000" cy="39603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60395"/>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Runtime architecture for substructure-conditional critical-current prediction. The six-stage workflow converts heterogeneous literature into bounded predictions. Each arrow is labeled with what it carries between stages, from the screened articles at the top to the family-scope envelope at the bottom. The critical-scale resolution stage is shown explicitly between extraction and fitting, with its provenance tiers indicated; it is highlighted because it is a distinct step with its own failure modes, characterized in Sec. III.F, and it was not visible as a separate stage in the earlier presentation of this work. The refusal branch leaves the dispatch stage explicitly, so that a refusal code with no emitted value is shown as an output of the predictor rather than as an omission. The workflow assembles the corpus, extracts curve-level measurement context, resolves the transition-temperature and upper-critical-field scales for each curve, fits per-axis Form 3 exponents, validates aggregation within explicit substructure and sample-form scopes, and dispatches family-scope envelopes with bootstrap confidence intervals and refusal flags. AI tools support plot extraction </w:t>
      </w: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and workflow organization </w:t>
      </w:r>
      <w:r>
        <w:rPr>
          <w:rFonts w:ascii="Times New Roman" w:cs="Times New Roman" w:eastAsia="Times New Roman" w:hAnsi="Times New Roman"/>
          <w:sz w:val="20"/>
          <w:szCs w:val="20"/>
        </w:rPr>
        <w:t xml:space="preserve">[36]</w:t>
      </w:r>
      <w:r>
        <w:rPr>
          <w:rFonts w:ascii="Times New Roman" w:cs="Times New Roman" w:eastAsia="Times New Roman" w:hAnsi="Times New Roman"/>
          <w:sz w:val="20"/>
          <w:szCs w:val="20"/>
        </w:rPr>
        <w:t xml:space="preserve">. All fitted parameters, validation metrics, uncertainty estimates, and final predictions are generated by deterministic pipeline components.</w:t>
      </w:r>
    </w:p>
    <w:p>
      <w:pPr>
        <w:pStyle w:val="Heading1"/>
        <w:spacing w:after="240" w:before="480"/>
        <w:jc w:val="center"/>
      </w:pPr>
      <w:r>
        <w:rPr>
          <w:rFonts w:ascii="Times New Roman" w:cs="Times New Roman" w:eastAsia="Times New Roman" w:hAnsi="Times New Roman"/>
          <w:b/>
          <w:bCs/>
          <w:color w:val="000000"/>
          <w:sz w:val="24"/>
          <w:szCs w:val="24"/>
        </w:rPr>
        <w:t xml:space="preserve">III. RESULTS AND DISCUSSION</w:t>
      </w:r>
    </w:p>
    <w:p>
      <w:pPr>
        <w:spacing w:after="0" w:line="480"/>
        <w:ind w:firstLine="431"/>
        <w:jc w:val="both"/>
      </w:pPr>
      <w:r>
        <w:rPr>
          <w:rFonts w:ascii="Times New Roman" w:cs="Times New Roman" w:eastAsia="Times New Roman" w:hAnsi="Times New Roman"/>
          <w:sz w:val="24"/>
          <w:szCs w:val="24"/>
        </w:rPr>
        <w:t xml:space="preserve">The results are organized around four questions raised by the framework. First: </w:t>
      </w:r>
      <w:r>
        <w:rPr>
          <w:rFonts w:ascii="Times New Roman" w:cs="Times New Roman" w:eastAsia="Times New Roman" w:hAnsi="Times New Roman"/>
          <w:i/>
          <w:iCs/>
          <w:sz w:val="24"/>
          <w:szCs w:val="24"/>
        </w:rPr>
        <w:t xml:space="preserve">can a single universal cross-compound scaling law explain critical-current variation across the heterogeneous superconductor literature?</w:t>
      </w:r>
      <w:r>
        <w:rPr>
          <w:rFonts w:ascii="Times New Roman" w:cs="Times New Roman" w:eastAsia="Times New Roman" w:hAnsi="Times New Roman"/>
          <w:sz w:val="24"/>
          <w:szCs w:val="24"/>
        </w:rPr>
        <w:t xml:space="preserve"> Second: </w:t>
      </w:r>
      <w:r>
        <w:rPr>
          <w:rFonts w:ascii="Times New Roman" w:cs="Times New Roman" w:eastAsia="Times New Roman" w:hAnsi="Times New Roman"/>
          <w:i/>
          <w:iCs/>
          <w:sz w:val="24"/>
          <w:szCs w:val="24"/>
        </w:rPr>
        <w:t xml:space="preserve">does substructure- and sample-form-conditioned aggregation outperform such a universal scaling and a simpler family-only conditioning?</w:t>
      </w:r>
      <w:r>
        <w:rPr>
          <w:rFonts w:ascii="Times New Roman" w:cs="Times New Roman" w:eastAsia="Times New Roman" w:hAnsi="Times New Roman"/>
          <w:sz w:val="24"/>
          <w:szCs w:val="24"/>
        </w:rPr>
        <w:t xml:space="preserve"> Third: </w:t>
      </w:r>
      <w:r>
        <w:rPr>
          <w:rFonts w:ascii="Times New Roman" w:cs="Times New Roman" w:eastAsia="Times New Roman" w:hAnsi="Times New Roman"/>
          <w:i/>
          <w:iCs/>
          <w:sz w:val="24"/>
          <w:szCs w:val="24"/>
        </w:rPr>
        <w:t xml:space="preserve">when can the framework extrapolate to out-of-corpus compounds, and what is the minimum cohort size required?</w:t>
      </w:r>
      <w:r>
        <w:rPr>
          <w:rFonts w:ascii="Times New Roman" w:cs="Times New Roman" w:eastAsia="Times New Roman" w:hAnsi="Times New Roman"/>
          <w:sz w:val="24"/>
          <w:szCs w:val="24"/>
        </w:rPr>
        <w:t xml:space="preserve"> Fourth: </w:t>
      </w:r>
      <w:r>
        <w:rPr>
          <w:rFonts w:ascii="Times New Roman" w:cs="Times New Roman" w:eastAsia="Times New Roman" w:hAnsi="Times New Roman"/>
          <w:i/>
          <w:iCs/>
          <w:sz w:val="24"/>
          <w:szCs w:val="24"/>
        </w:rPr>
        <w:t xml:space="preserve">what is the operational uncertainty of the dispatched predictions, and how do refusal gates change that uncertainty in practice?</w:t>
      </w:r>
    </w:p>
    <w:p>
      <w:pPr>
        <w:spacing w:after="0" w:line="480"/>
        <w:ind w:firstLine="431"/>
        <w:jc w:val="both"/>
      </w:pPr>
      <w:r>
        <w:rPr>
          <w:rFonts w:ascii="Times New Roman" w:cs="Times New Roman" w:eastAsia="Times New Roman" w:hAnsi="Times New Roman"/>
          <w:sz w:val="24"/>
          <w:szCs w:val="24"/>
        </w:rPr>
        <w:t xml:space="preserve">Two conventions apply throughout. Errors in a fitted exponent are dimensionless, since β is a dimensionless power;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quoted in dex. An earlier version of this manuscript reported exponent errors in dex, which made a value such as 10.10 read as ten orders of magnitude in current density when it is in fact a dimensionless exponent error. Second, every result below is labeled with the critical-scale implementation it was computed through, following Section II.C, and results on the field axis carry the additional qualification developed in Section III.F. Readers coming from superconductivity rather than statistics may find Table S2 of the Supplemental Material useful: it gives the condensed-matter reading of each term used here, including the anchor as the pre-exponential factor of the power law.</w:t>
      </w:r>
    </w:p>
    <w:p>
      <w:pPr>
        <w:spacing w:after="0" w:line="480"/>
        <w:ind w:firstLine="431"/>
        <w:jc w:val="both"/>
      </w:pPr>
      <w:r>
        <w:rPr>
          <w:rFonts w:ascii="Times New Roman" w:cs="Times New Roman" w:eastAsia="Times New Roman" w:hAnsi="Times New Roman"/>
          <w:sz w:val="24"/>
          <w:szCs w:val="24"/>
        </w:rPr>
        <w:t xml:space="preserve">We compare against three baselines from the existing superconductor-prediction literature. The first is monolithic regression of the field exponent against compositional descriptors, the natural extension of the cross-compound approach used for transition temperature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second is universal reduced-variable scaling, in which a single global exponent describes every compound after temperature and field are scaled by their critical values, motivated by classical pinning-force scaling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The third is an intermediate family-conditional baseline that fits a single exponent per substructure family without conditioning on sample form, which isolates the benefit of knowing family identity from the benefit of having sample-form context.</w:t>
      </w:r>
    </w:p>
    <w:p>
      <w:pPr>
        <w:pStyle w:val="Heading2"/>
        <w:spacing w:after="200" w:before="360"/>
        <w:jc w:val="center"/>
      </w:pPr>
      <w:r>
        <w:rPr>
          <w:rFonts w:ascii="Times New Roman" w:cs="Times New Roman" w:eastAsia="Times New Roman" w:hAnsi="Times New Roman"/>
          <w:b/>
          <w:bCs/>
          <w:color w:val="000000"/>
          <w:sz w:val="24"/>
          <w:szCs w:val="24"/>
        </w:rPr>
        <w:t xml:space="preserve">A. Variance decomposition</w:t>
      </w:r>
    </w:p>
    <w:p>
      <w:pPr>
        <w:spacing w:after="0" w:line="480"/>
        <w:ind w:firstLine="431"/>
        <w:jc w:val="both"/>
      </w:pPr>
      <w:r>
        <w:rPr>
          <w:rFonts w:ascii="Times New Roman" w:cs="Times New Roman" w:eastAsia="Times New Roman" w:hAnsi="Times New Roman"/>
          <w:i/>
          <w:iCs/>
          <w:sz w:val="24"/>
          <w:szCs w:val="24"/>
        </w:rPr>
        <w:t xml:space="preserve">Aggregation across three scopes.</w:t>
      </w:r>
      <w:r>
        <w:rPr>
          <w:rFonts w:ascii="Times New Roman" w:cs="Times New Roman" w:eastAsia="Times New Roman" w:hAnsi="Times New Roman"/>
          <w:sz w:val="24"/>
          <w:szCs w:val="24"/>
        </w:rPr>
        <w:t xml:space="preserve"> Stage 1 classifies compounds by substructure and regresses the field exponent against a compositional descriptor. The regression is univariate ordinary least squares on the mean maximum Pauling electronegativity across seven substructure families, with leave-one-substructure-out validation; it is not a MAGPIE feature-vector model, and we name it precisely here because that was ambiguous in the earlier presentation. The descriptor carries genuine but weak rank information. An earlier version of this section quantified it as a Spearman coefficient of 0.635 with a 95% confidence interval of [0.061, 0.948]. That figure is withdrawn: it was computed on the nine-family version of the descriptor table, two of whose families have since been withdrawn, and on the mean field exponent where this stage regresses the median. On the seven families that remain the coefficient is 0.408 on the median and 0.593 on the mean, and a bootstrap interval on either contains zero and reaches unity, because a rank correlation over seven points of which three share an identical descriptor value cannot be estimated more tightly than that. We therefore report the rank-position result below, which is the quantity this stage was validated on and which needs no interval. Stage 1 gives a leave-one-substructure-out mean absolute error of 12.30 in the dimensionless field exponent, across the seven substructure families that carry a descriptor. Most of this comes from cuprate measurement-window saturation: in many cuprate reports the measured curves cover only a small fraction of the upper critical field, so the fitted field exponent reaches an imposed regression ceiling (Supplemental Material Sec. 1). The rank-position error remains 1.00, so Stage 1 serves as a rank-signal and classification step rather than a final predictor.</w:t>
      </w:r>
    </w:p>
    <w:p>
      <w:pPr>
        <w:spacing w:after="0" w:line="480"/>
        <w:ind w:firstLine="431"/>
        <w:jc w:val="both"/>
      </w:pPr>
      <w:r>
        <w:rPr>
          <w:rFonts w:ascii="Times New Roman" w:cs="Times New Roman" w:eastAsia="Times New Roman" w:hAnsi="Times New Roman"/>
          <w:sz w:val="24"/>
          <w:szCs w:val="24"/>
        </w:rPr>
        <w:t xml:space="preserve">Stage 2 groups the extracted exponents by sample form within each substructure and uses the median of each (substructure, sample form) cell. Comparing the two stages requires care, and we report the comparison in the form that survives it. The Stage 1 error was computed across the nine substructure families of an earlier version of this analysis and the Stage 2 error across the five families that carried populated sample-form cells, so the headline ratio of 10.10 to 0.43 compares different cohorts. Restricting to the matched five-family cohort removes that particular defect but not the more serious one: in both comparisons the predictor for a family is built from a pool that contains that family's own fits, so neither figure is a statement about generalization. We therefore report the comparison under leave-one-substructure-out, in which the held-out family is withheld at every stage. We do not report a fold improvement. An earlier version of this section gave 1.07, 2.24 and 1.83 across the three cohorts, and those are withdrawn: the sample-form-conditional scope is undefined for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because once the cuprate families are removed no other family contributes a bulk or wire fit, so two of the three divided a four-family numerator by a three-family denominator, which is the mismatched-cohort defect this same paragraph identifies in the original ratio. They were also the lowest of four ways of forming the conditional prediction, and the lowest is not the same one on every cohort. We give the errors instead: across the seven families the leave-one-substructure-out mean absolute error is 12.3 without sample-form conditioning and 14.9 with it, and on the fits passing physicality it is 1.19 and 0.55 over the three families the conditional scope can score. Neither predictor is distinguishable from the out-of-sample median of the training fits, which uses no family and no sample form at all, and removing any single family moves the comparison across unity. The corpus cannot separate the two effects, because sample form is nearly nested within substructure here: wire occurs in one family only, and holding a substructure out removes most of its forms from the training pool. All figures are computed on βH and therefore inherit the field-scale qualification of Section III.F. We no longer present a single fold-improvement headline.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Stage 3 reports a substructure-level central tendency with an explicit interquartile range. An earlier version of this section gave its error as 0.84 in the field exponent and called it a leave-one-substructure-out error. It is not one. That figure comes from the same generator and the same run as the Stage 1 and Stage 2 values withdrawn above, and it carries the same defect: the median that predicts a held-out family is computed over a pool that includes that family, so two of its five terms are zero by construction. Under genuine withholding, on the cuprates-removed cohort the interquartile result below is computed on, the Stage 3 error is 0.816. It exceeds the Stage 2 error because the reporting scope is broader. Stages 2 and 3 serve different prediction regimes and are not competing versions of the same model.</w:t>
      </w:r>
    </w:p>
    <w:p>
      <w:pPr>
        <w:spacing w:after="0" w:line="480"/>
        <w:ind w:firstLine="431"/>
        <w:jc w:val="both"/>
      </w:pPr>
      <w:r>
        <w:rPr>
          <w:rFonts w:ascii="Times New Roman" w:cs="Times New Roman" w:eastAsia="Times New Roman" w:hAnsi="Times New Roman"/>
          <w:i/>
          <w:iCs/>
          <w:sz w:val="24"/>
          <w:szCs w:val="24"/>
        </w:rPr>
        <w:t xml:space="preserve">The variance-decomposition diagnostic. This test is what sets the conditioning rule the predictor follows, family by family. It is not what establishes that conditioning is required: as we set out below, sample form is very nearly a relabelling of source paper in this corpus, and the claim that substructure conditioning is required rests on the temperature-axis separation reported in Sec. III.C rather than on this diagnostic or on the stage comparison above. The diagnostic is computed on the critical-current anchor,</w:t>
      </w:r>
      <w:r>
        <w:rPr>
          <w:rFonts w:ascii="Times New Roman" w:cs="Times New Roman" w:eastAsia="Times New Roman" w:hAnsi="Times New Roman"/>
          <w:sz w:val="24"/>
          <w:szCs w:val="24"/>
        </w:rPr>
        <w:t xml:space="preserve">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at the lowest measured temperature and field, which involves no fitted exponent and no critical-field scale. For each family we compute the fraction of within-substructure variance in the anchor explained by differences between sample forms, equivalent to eta-squared in a one-way analysis of variance of sample-form groups </w:t>
      </w:r>
      <w:r>
        <w:rPr>
          <w:rFonts w:ascii="Times New Roman" w:cs="Times New Roman" w:eastAsia="Times New Roman" w:hAnsi="Times New Roman"/>
          <w:sz w:val="24"/>
          <w:szCs w:val="24"/>
        </w:rPr>
        <w:t xml:space="preserve">[37]</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η</m:t>
            </m:r>
          </m:e>
          <m:sup>
            <m:r>
              <m:t>2</m:t>
            </m:r>
          </m:sup>
        </m:sSup>
        <m:r>
          <m:rPr>
            <m:sty m:val="p"/>
          </m:rPr>
          <m:t>=</m:t>
        </m:r>
        <m:f>
          <m:fPr>
            <m:type m:val="bar"/>
          </m:fPr>
          <m:num>
            <m:nary>
              <m:naryPr>
                <m:chr m:val="∑"/>
                <m:limLoc m:val="undOvr"/>
                <m:subHide m:val="off"/>
                <m:supHide m:val="on"/>
              </m:naryPr>
              <m:sub>
                <m:r>
                  <m:t>f</m:t>
                </m:r>
              </m:sub>
              <m:sup>
                <m:r>
                  <m:t>​</m:t>
                </m:r>
              </m:sup>
              <m:e>
                <m:sSub>
                  <m:e>
                    <m:r>
                      <m:t>n</m:t>
                    </m:r>
                  </m:e>
                  <m:sub>
                    <m:r>
                      <m:t>f</m:t>
                    </m:r>
                  </m:sub>
                </m:sSub>
              </m:e>
            </m:nary>
            <m:r>
              <m:t> </m:t>
            </m:r>
            <m:sSup>
              <m:e>
                <m:d>
                  <m:dPr>
                    <m:begChr m:val="("/>
                    <m:sepChr m:val=""/>
                    <m:endChr m:val=")"/>
                    <m:grow/>
                  </m:dPr>
                  <m:e>
                    <m:sSub>
                      <m:e>
                        <m:acc>
                          <m:accPr>
                            <m:chr m:val="‾"/>
                          </m:accPr>
                          <m:e>
                            <m:r>
                              <m:t>y</m:t>
                            </m:r>
                          </m:e>
                        </m:acc>
                      </m:e>
                      <m:sub>
                        <m:r>
                          <m:t>f</m:t>
                        </m:r>
                      </m:sub>
                    </m:sSub>
                    <m:r>
                      <m:rPr>
                        <m:sty m:val="p"/>
                      </m:rPr>
                      <m:t>−</m:t>
                    </m:r>
                    <m:acc>
                      <m:accPr>
                        <m:chr m:val="‾"/>
                      </m:accPr>
                      <m:e>
                        <m:r>
                          <m:t>y</m:t>
                        </m:r>
                      </m:e>
                    </m:acc>
                  </m:e>
                </m:d>
              </m:e>
              <m:sup>
                <m:r>
                  <m:t>2</m:t>
                </m:r>
              </m:sup>
            </m:sSup>
          </m:num>
          <m:den>
            <m:nary>
              <m:naryPr>
                <m:chr m:val="∑"/>
                <m:limLoc m:val="undOvr"/>
                <m:subHide m:val="off"/>
                <m:supHide m:val="on"/>
              </m:naryPr>
              <m:sub>
                <m:r>
                  <m:t>f</m:t>
                </m:r>
              </m:sub>
              <m:sup>
                <m:r>
                  <m:t>​</m:t>
                </m:r>
              </m:sup>
              <m:e>
                <m:nary>
                  <m:naryPr>
                    <m:chr m:val="∑"/>
                    <m:limLoc m:val="undOvr"/>
                    <m:subHide m:val="off"/>
                    <m:supHide m:val="on"/>
                  </m:naryPr>
                  <m:sub>
                    <m:r>
                      <m:t>i</m:t>
                    </m:r>
                    <m:r>
                      <m:rPr>
                        <m:sty m:val="p"/>
                      </m:rPr>
                      <m:t>∈</m:t>
                    </m:r>
                    <m:r>
                      <m:t>f</m:t>
                    </m:r>
                  </m:sub>
                  <m:sup>
                    <m:r>
                      <m:t>​</m:t>
                    </m:r>
                  </m:sup>
                  <m:e>
                    <m:sSup>
                      <m:e>
                        <m:d>
                          <m:dPr>
                            <m:begChr m:val="("/>
                            <m:sepChr m:val=""/>
                            <m:endChr m:val=")"/>
                            <m:grow/>
                          </m:dPr>
                          <m:e>
                            <m:sSub>
                              <m:e>
                                <m:r>
                                  <m:t>y</m:t>
                                </m:r>
                              </m:e>
                              <m:sub>
                                <m:r>
                                  <m:t>i</m:t>
                                </m:r>
                              </m:sub>
                            </m:sSub>
                            <m:r>
                              <m:rPr>
                                <m:sty m:val="p"/>
                              </m:rPr>
                              <m:t>−</m:t>
                            </m:r>
                            <m:acc>
                              <m:accPr>
                                <m:chr m:val="‾"/>
                              </m:accPr>
                              <m:e>
                                <m:r>
                                  <m:t>y</m:t>
                                </m:r>
                              </m:e>
                            </m:acc>
                          </m:e>
                        </m:d>
                      </m:e>
                      <m:sup>
                        <m:r>
                          <m:t>2</m:t>
                        </m:r>
                      </m:sup>
                    </m:sSup>
                  </m:e>
                </m:nary>
              </m:e>
            </m:nary>
          </m:den>
        </m:f>
        <m:r>
          <m:rPr>
            <m:sty m:val="p"/>
          </m:rPr>
          <m:t>,</m:t>
        </m:r>
        <m:r>
          <m:t>  </m:t>
        </m:r>
        <m:r>
          <m:t>y</m:t>
        </m:r>
        <m:r>
          <m:rPr>
            <m:sty m:val="p"/>
          </m:rPr>
          <m:t>=</m:t>
        </m:r>
        <m:sSub>
          <m:e>
            <m:r>
              <m:rPr>
                <m:sty m:val="p"/>
              </m:rPr>
              <m:t>log</m:t>
            </m:r>
          </m:e>
          <m:sub>
            <m:r>
              <m:t>10</m:t>
            </m:r>
          </m:sub>
        </m:sSub>
        <m:sSubSup>
          <m:e>
            <m:r>
              <m:t>J</m:t>
            </m:r>
          </m:e>
          <m:sub>
            <m:r>
              <m:t>c</m:t>
            </m:r>
          </m:sub>
          <m:sup>
            <m:r>
              <m:t> </m:t>
            </m:r>
            <m:r>
              <m:rPr>
                <m:sty m:val="p"/>
              </m:rPr>
              <m:t>a</m:t>
            </m:r>
            <m:r>
              <m:rPr>
                <m:sty m:val="p"/>
              </m:rPr>
              <m:t>n</m:t>
            </m:r>
            <m:r>
              <m:rPr>
                <m:sty m:val="p"/>
              </m:rPr>
              <m:t>c</m:t>
            </m:r>
            <m:r>
              <m:rPr>
                <m:sty m:val="p"/>
              </m:rPr>
              <m:t>h</m:t>
            </m:r>
            <m:r>
              <m:rPr>
                <m:sty m:val="p"/>
              </m:rPr>
              <m:t>o</m:t>
            </m:r>
            <m:r>
              <m:rPr>
                <m:sty m:val="p"/>
              </m:rPr>
              <m:t>r</m:t>
            </m:r>
          </m:sup>
        </m:sSubSup>
      </m:oMath>
      <w:r>
        <w:rPr>
          <w:rFonts w:ascii="Times New Roman" w:cs="Times New Roman" w:eastAsia="Times New Roman" w:hAnsi="Times New Roman"/>
          <w:sz w:val="24"/>
          <w:szCs w:val="24"/>
        </w:rPr>
        <w:t xml:space="preserve">	(8)</w:t>
      </w:r>
    </w:p>
    <w:p>
      <w:pPr>
        <w:spacing w:after="0" w:line="480"/>
        <w:ind w:firstLine="431"/>
        <w:jc w:val="both"/>
      </w:pPr>
      <w:r>
        <w:rPr>
          <w:rFonts w:ascii="Times New Roman" w:cs="Times New Roman" w:eastAsia="Times New Roman" w:hAnsi="Times New Roman"/>
          <w:sz w:val="24"/>
          <w:szCs w:val="24"/>
        </w:rPr>
        <w:t>A value near one means sample form accounts for nearly all within-family scatter in the anchor; a value near zero means it accounts for almost none. This is a direct test of whether sample form is a useful conditioning variable, and the resulting regime label drives the exponent aggregation used for prediction. The label is assigned by two cuts on the ratio, which we state here because earlier versions of this manuscript did not: above 0.7 the family is treated as sample-form dominant, from 0.3 to 0.7 as moderate, and below 0.3 as minor. These are not the applicability window of Eq. (1), which uses the same two numbers on reduced temperature and reduced field. Two qualifications belong with them. The cuts are applied to the uncorrected ratio, and applying the small-sample bias correction we invoke for the MgB2 class to every family instead moves the iron chalcogenide family below the lower cut on the deposited anchors and the 122-type family below it on the repaired anchors. The one family that remains above the upper cut clears it by 0.0007. No dispatched prediction changes under either correction, because the families that move emit nothing, but the classification is not stable and we do not present it as one. We verified this quantity independently of the field-axis corrections described in Section III.F: all 96 per-paper anchor groups are identical before and after the magnetic-field unit repair, because the anchor does not use the field scale.</w:t>
      </w:r>
    </w:p>
    <w:p>
      <w:pPr>
        <w:spacing w:after="0" w:line="480"/>
        <w:ind w:firstLine="431"/>
        <w:jc w:val="both"/>
      </w:pPr>
      <w:r>
        <w:rPr>
          <w:rFonts w:ascii="Times New Roman" w:cs="Times New Roman" w:eastAsia="Times New Roman" w:hAnsi="Times New Roman"/>
          <w:sz w:val="24"/>
          <w:szCs w:val="24"/>
        </w:rPr>
        <w:t xml:space="preserve">The diagnostic yields two distinct outcomes, summarized in Fig. 3, and we state at the outset what it can and cannot establish. On the deposited anchors the ratio is 0.37 for iron chalcogenide 11-type, 0.49 for iron pnictide 122-type and 0.12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An earlier version of this section gave 0.35 for the 122-type family, which reproduces from no cohort in the deposit and is corrected here. After the anchor repair of Section III.F, which withdraws 26 of the 96 rows and corrects a scale error on 15 more, the same three are 0.81 on 5 samples, 0.37 on 5 and 0.04 on 13. The direction is unchanged and the separation between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and the others is wider, so the regime distinction the predictor uses is the one the data indicate: sample-form conditioning is informative rather than required for the two iron-based families, the predictor uses Stage 2 medians where the cell is populated and falls back to the single-crystal cell otherwise, and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it uses substructure-aggregate scope with the full interquartile range as uncertainty. What the diagnostic does not do is establish that distinction to any standard of significance, and the reason is structural rather than a matter of sample size alone. Sample form is very nearly a relabelling of source paper in this corpus: one of the 29 contributing papers carried more than one sample form before the repair and none of the 20 does after it. Under a null that shuffles the form label between papers, which is the only null that respects that structure,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cell admits three distinct labellings and can therefore never return a p below 0.33 however clean its separation, and the two iron-based cells admit four and ten. Corrected for the upward bias this statistic carries at small sample size,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value is negative, which is to say its between-form separation is smaller than the grouping produces by chance. We therefore report the regime labels as the rule the predictor follows and as consistent with the data, not as a tested finding, and we state the measurement that would test them: source papers reporting several sample forms of one compound, which this corpus does not supply.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Given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cohort size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15 physical samples), a label-permutation test cannot distinguish this low ratio from a weak sample-form signal concealed by sampling noise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0.21). Substructure-aggregate scope is therefore adopted as the reasonable default for this class rather than as a demonstrated absence of sample-form dependence.</w:t>
      </w:r>
    </w:p>
    <w:p>
      <w:pPr>
        <w:spacing w:after="0" w:line="480"/>
        <w:ind w:firstLine="431"/>
        <w:jc w:val="both"/>
      </w:pPr>
      <w:r>
        <w:rPr>
          <w:rFonts w:ascii="Times New Roman" w:cs="Times New Roman" w:eastAsia="Times New Roman" w:hAnsi="Times New Roman"/>
          <w:sz w:val="24"/>
          <w:szCs w:val="24"/>
        </w:rPr>
        <w:t xml:space="preserve">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result carries the general lesson. Sample form is not the right conditioning variable for every family; in this class the dominant missing variables are more likely composition, defect structure, connectivity, and processing route </w:t>
      </w:r>
      <w:r>
        <w:rPr>
          <w:rFonts w:ascii="Times New Roman" w:cs="Times New Roman" w:eastAsia="Times New Roman" w:hAnsi="Times New Roman"/>
          <w:sz w:val="24"/>
          <w:szCs w:val="24"/>
        </w:rPr>
        <w:t xml:space="preserve">[38]</w:t>
      </w:r>
      <w:r>
        <w:rPr>
          <w:rFonts w:ascii="Times New Roman" w:cs="Times New Roman" w:eastAsia="Times New Roman" w:hAnsi="Times New Roman"/>
          <w:sz w:val="24"/>
          <w:szCs w:val="24"/>
        </w:rPr>
        <w:t xml:space="preserve">. This reading is consistent with the two-band character of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with its well-documented sensitivity to production route, both of which act through variables the sample-form label does not capture. The diagnostic therefore changes the role of aggregation. It does not impose one hierarchy on all superconductors. It asks, family by family, which physical or experimental variable explains the variance that a naive model would misattribute to chemistry alone. </w:t>
      </w:r>
      <w:r>
        <w:rPr>
          <w:rFonts w:ascii="Times New Roman" w:cs="Times New Roman" w:eastAsia="Times New Roman" w:hAnsi="Times New Roman"/>
          <w:i/>
          <w:iCs/>
          <w:sz w:val="24"/>
          <w:szCs w:val="24"/>
        </w:rPr>
        <w:t xml:space="preserve">This is what allows the framework to make bounded predictions from messy literature instead of fitting a large but poorly specified dataset with false confidence.</w:t>
      </w:r>
    </w:p>
    <w:p>
      <w:pPr>
        <w:spacing w:after="120" w:before="240"/>
        <w:jc w:val="center"/>
      </w:pPr>
      <w:r>
        <w:drawing>
          <wp:inline distT="0" distB="0" distL="0" distR="0">
            <wp:extent cx="5715000" cy="287956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79566"/>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Empirical test for sample-form conditioning across superconducting substructures. Each panel shows critical-current anchor values grouped by sample form within a populated substructure family. Of the 96 per-paper anchor records of Table I, 56 fall in the three families shown and the remainder in families not plotted here. The 56 collapse to the 37 markers drawn, because multiple isotherms of one physical sample are averaged into a single record before plotting: 12 for iron chalcogenide 11-type, 10 for iron pnictide 122-type, and 15 for MgB2-class.</w:t>
      </w:r>
      <w:r>
        <w:rPr>
          <w:rFonts w:ascii="Times New Roman" w:cs="Times New Roman" w:eastAsia="Times New Roman" w:hAnsi="Times New Roman"/>
          <w:i w:val="false"/>
          <w:iCs w:val="false"/>
          <w:sz w:val="20"/>
          <w:szCs w:val="20"/>
          <w:vertAlign w:val="subscript"/>
        </w:rPr>
      </w:r>
      <w:r>
        <w:rPr>
          <w:rFonts w:ascii="Times New Roman" w:cs="Times New Roman" w:eastAsia="Times New Roman" w:hAnsi="Times New Roman"/>
          <w:sz w:val="20"/>
          <w:szCs w:val="20"/>
        </w:rPr>
        <w:t xml:space="preserve"> Markers are therefore per physical sample, and are fewer in number than the per-curve fit counts quoted in the tables. Markers are colored by substructure. Horizontal bars give the median for each (substructure, sample-form) cell, and shaded boxes give the empirical interquartile range (q25–q75) within each cell. The fraction of variance explained by sample form defines the prediction regime. Iron chalcogenide 11-type materials show strong sample-form separation, requiring sample-form-conditioned prediction. Iron pnictide 122-type materials show intermediate separation, so sample-form conditioning is used when available. MgB</w:t>
      </w:r>
      <w:r>
        <w:rPr>
          <w:rFonts w:ascii="Times New Roman" w:cs="Times New Roman" w:eastAsia="Times New Roman" w:hAnsi="Times New Roman"/>
          <w:i w:val="false"/>
          <w:iCs w:val="false"/>
          <w:sz w:val="20"/>
          <w:szCs w:val="20"/>
          <w:vertAlign w:val="subscript"/>
        </w:rPr>
        <w:t xml:space="preserve">2</w:t>
      </w:r>
      <w:r>
        <w:rPr>
          <w:rFonts w:ascii="Times New Roman" w:cs="Times New Roman" w:eastAsia="Times New Roman" w:hAnsi="Times New Roman"/>
          <w:sz w:val="20"/>
          <w:szCs w:val="20"/>
        </w:rPr>
        <w:t xml:space="preserve">-class materials show weak separation, so the model falls back to substructure-level aggregation. Singleton cells are flagged with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 The quantity plotted is the critical-current anchor, which uses neither a fitted exponent nor an upper-critical-field scale, so it is unaffected by the magnetic-field unit repair of Sec. III.F. The anchor repair of that same section is a separate matter and does reach these records: it withdraws 26 of the 96 and rescales 15. The panels here plot the anchors as deposited, and the ratios quoted in this caption are therefore the deposited ones; Sec. III.A and Table III give both cohorts, and the regime assignment is the same on each.</w:t>
      </w:r>
    </w:p>
    <w:p>
      <w:pPr>
        <w:pStyle w:val="Heading2"/>
        <w:spacing w:after="200" w:before="360"/>
        <w:jc w:val="center"/>
      </w:pPr>
      <w:r>
        <w:rPr>
          <w:rFonts w:ascii="Times New Roman" w:cs="Times New Roman" w:eastAsia="Times New Roman" w:hAnsi="Times New Roman"/>
          <w:b/>
          <w:bCs/>
          <w:color w:val="000000"/>
          <w:sz w:val="24"/>
          <w:szCs w:val="24"/>
        </w:rPr>
        <w:t xml:space="preserve">B. External validation and the K-anchor refusal gate</w:t>
      </w:r>
    </w:p>
    <w:p>
      <w:pPr>
        <w:spacing w:after="0" w:line="480"/>
        <w:ind w:firstLine="431"/>
        <w:jc w:val="both"/>
      </w:pPr>
      <w:r>
        <w:rPr>
          <w:rFonts w:ascii="Times New Roman" w:cs="Times New Roman" w:eastAsia="Times New Roman" w:hAnsi="Times New Roman"/>
          <w:sz w:val="24"/>
          <w:szCs w:val="24"/>
        </w:rPr>
        <w:t xml:space="preserve">The anchor-count gate is set by external validation. Beyond selecting conditioning variables, we must ask how many reference compounds are needed before a cross-compound prediction can be trusted; the answer sets the threshold for the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-anchor refusal gate. Set wrongly, it either discards useful predictions or admits unreliable ones. We evaluated this on four out-of-corpus cuprates. With one anchor compound the pooled mean absolute error is 1.592 dex in log10 Jc. We note the unit explicitly because an earlier version of this section reported it as an error in the field exponent, and because a further comparison against an in-corpus baseline of 0.567 has been removed: that value is not derivable from the deposit and it is not on the same scale as 1.592. A transition-temperature-only baseline reaches 1.166 dex on the same compounds and outperforms the one-anchor predictor for every cuprate. Single-anchor prediction is therefore insufficient on external data.</w:t>
      </w:r>
    </w:p>
    <w:p>
      <w:pPr>
        <w:spacing w:after="0" w:line="480"/>
        <w:ind w:firstLine="431"/>
        <w:jc w:val="both"/>
      </w:pPr>
      <w:r>
        <w:rPr>
          <w:rFonts w:ascii="Times New Roman" w:cs="Times New Roman" w:eastAsia="Times New Roman" w:hAnsi="Times New Roman"/>
          <w:sz w:val="24"/>
          <w:szCs w:val="24"/>
        </w:rPr>
        <w:t xml:space="preserve">The three-anchor condition improves performance substantially (Fig. 4). After excluding the non-monotonic cuprate, the method was evaluated on the remaining three monotonic cuprates. The pooled error on those three decreases to 0.694. Comparing the four-compound one-anchor value of 1.592 against the four-compound three-anchor value of 0.927 gives a 41.8% reduction, and the matched three-compound reduction is 45.2%, so the two ratios rest on different cohorts, which is the same error we correct elsewhere in this section. On the matched three monotonic cuprates the one-anchor error is 1.267 dex, the three-anchor error is 0.694 dex, and the reduction is 45.2%. That figure has to be read with the composition of the two held-out sets in front of it, which we did not previously give. The two arms score almost entirely different points, 46 against 48 with one shared coordinate, and they sit in different regimes relative to the anchors: the one-anchor set is entirely extrapolation, while a little over half the three-anchor set is interpolation. On the one regime both arms populate equally, low-side extrapolation with twelve points each, the improvement is 2.3% rather than 45.2%. The gate is therefore set on a comparison that is substantially a comparison of where the held-out points sit, and we report the requirement of three anchors as a conservative operating choice rather than as a measured 45% gain. Rank ordering improves strongly, with Spearman correlation reaching +1.000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the fraction of the true top-three compounds appearing in the predicted top-three list, reaching 1.000 on this external cuprate test for every regime in which the three-anchor comparison is well defined (Supplemental Material Sec. 4). The separate in-corpus ranking test of Supplemental Material Sec. 6 reaches 0.667 on the same metric, and the two should not be conflated. The requirement of at least three anchor measurements is therefore an empirical boundary for reliable prediction in this literature-derived setting.</w:t>
      </w:r>
    </w:p>
    <w:p>
      <w:pPr>
        <w:spacing w:after="120" w:before="240"/>
        <w:jc w:val="center"/>
      </w:pPr>
      <w:r>
        <w:drawing>
          <wp:inline distT="0" distB="0" distL="0" distR="0">
            <wp:extent cx="5715000" cy="53884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38842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4.</w:t>
      </w:r>
      <w:r>
        <w:rPr>
          <w:rFonts w:ascii="Times New Roman" w:cs="Times New Roman" w:eastAsia="Times New Roman" w:hAnsi="Times New Roman"/>
          <w:sz w:val="20"/>
          <w:szCs w:val="20"/>
        </w:rPr>
        <w:t xml:space="preserve"> Anchor-count sensitivity in external cuprate validation. Markers show the pooled L1 mean absolute error in log10 Jc, in dex, at each anchor-count value K. This is a prediction error in critical current and not an error in the field exponent, which the two conventions of Sec. II.A distinguish.</w:t>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Error bars give the 95% bootstrap confidence interval (5000 iterations, percentile method) on the pooled error: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 across all four held-out cuprates,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across the three monotonic cuprates after the non-monotonic compound is refused. The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interval is narrower partly because the monotonic subset is more homogeneous and partly because the non-monotonic outlier has been correctly refused. The dashed line marks the transition-temperature-only baseline.</w:t>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The single-anchor predictor fails on the out-of-corpus cuprate test set, with larger error than the transition-temperature-only baseline. Requiring three anchor measurements restores predictive performance on the monotonic cuprate subset, reducing the error by 45.2% on the matched three-compound cohort and recovering the correct screening-grade rank order. This defines the anchor-density refusal gate.</w:t>
      </w:r>
    </w:p>
    <w:p>
      <w:pPr>
        <w:pStyle w:val="Heading2"/>
        <w:spacing w:after="200" w:before="360"/>
        <w:jc w:val="center"/>
      </w:pPr>
      <w:r>
        <w:rPr>
          <w:rFonts w:ascii="Times New Roman" w:cs="Times New Roman" w:eastAsia="Times New Roman" w:hAnsi="Times New Roman"/>
          <w:b/>
          <w:bCs/>
          <w:color w:val="000000"/>
          <w:sz w:val="24"/>
          <w:szCs w:val="24"/>
        </w:rPr>
        <w:t xml:space="preserve">C. Family-level applicability bound</w:t>
      </w:r>
    </w:p>
    <w:p>
      <w:pPr>
        <w:spacing w:after="0" w:line="480"/>
        <w:ind w:firstLine="431"/>
        <w:jc w:val="both"/>
      </w:pPr>
      <w:r>
        <w:rPr>
          <w:rFonts w:ascii="Times New Roman" w:cs="Times New Roman" w:eastAsia="Times New Roman" w:hAnsi="Times New Roman"/>
          <w:sz w:val="24"/>
          <w:szCs w:val="24"/>
        </w:rPr>
        <w:t xml:space="preserve">Having established the anchor-count requirement, the next question is which material families the framework can address at all. A compound leave-one-out validation within each substructure defines the applicability limits, and we report it separately for each exponent, because the two axes rest on different evidence. The temperature axis uses the transition temperature as its critical scale, a directly reported quantity available for every fitted curve. The field axis uses the upper critical field, whose provenance in this corpus is the subject of Section III.F. Reporting a single combined applicability number would obscure that difference.</w:t>
      </w:r>
    </w:p>
    <w:p>
      <w:pPr>
        <w:spacing w:after="0" w:line="480"/>
        <w:ind w:firstLine="431"/>
        <w:jc w:val="both"/>
      </w:pPr>
      <w:r>
        <w:rPr>
          <w:rFonts w:ascii="Times New Roman" w:cs="Times New Roman" w:eastAsia="Times New Roman" w:hAnsi="Times New Roman"/>
          <w:i/>
          <w:iCs/>
          <w:sz w:val="24"/>
          <w:szCs w:val="24"/>
        </w:rPr>
        <w:t xml:space="preserve">Temperature axis.</w:t>
      </w:r>
      <w:r>
        <w:rPr>
          <w:rFonts w:ascii="Times New Roman" w:cs="Times New Roman" w:eastAsia="Times New Roman" w:hAnsi="Times New Roman"/>
          <w:sz w:val="24"/>
          <w:szCs w:val="24"/>
        </w:rPr>
        <w:t xml:space="preserve"> Using the 257 temperature-axis fits that survive the transition-temperature repairs, with the substructure median as predictor and 2000 bootstrap resamples over source papers, three families carry enough compounds to support the test. Iron chalcogenide 11-type reaches 0.546 across three compounds and 87 fits, with every scorable bootstrap resample below the screening-grade threshold of 1 in the exponent. These are dimensionless exponent errors, and the threshold applied to them is likewise dimensionless; the 1 dex threshold quoted for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in Section III.E is a different quantity that happens to carry the same numerical value. Iron pnictide 122-type reaches 0.580 across two compounds, with 98% of resamples below threshold. Iron pnictide 1111-type reaches 0.513 across three compounds, with 100% below threshold. On the cohort as published these three errors were 0.588, 1.314 and 3.120, with 100%, 30% and 21% of resamples below threshold, and only the chalcogenide family cleared the threshold with confidence. The improvement has to be read with care. The threshold is an absolute bar of 1 in the exponent, and the repairs compress the exponents themselves: the mean absolute deviation of the 1111-type exponents from their family median falls from 1.456 to 0.438, and predicting every fit by that median with nothing held out already gives an error equal to that deviation, so a family can cross the bar without the predictor having improved. Two things indicate that is not the whole of it. The 122-type family sits below 1 in both cohorts and still moves from 30% to 98%, and the error divided by the family's own deviation falls in both moving families, from 1.37 to 1.24 and from 2.14 to 1.17. A third point runs the other way: the chalcogenide family loses two of its five compounds, both single fits, so its unchanged figure compares a five-fold estimator with a three-fold one. We report the errors on the repaired cohort with the compression stated beside them rather than claiming an improvement in the ratio of the two. One further qualification is larger than any of these and we state it here rather than in the supplement. The seventeen traceable figures behind this cohort have been pixel-traced and the exponent refit inside each deposited row's own temperature window, with the same transition temperature on both sides: of the fourteen that can be scored, none reproduces its deposited exponent, and the median ratio of refitted to deposited is 0.42. The rebuilt exponents are deposited with this paper. Recomputing the two results above on them, the substructure separation survives, at 0.359 with a permutation probability of 0.037 against 0.524 at 0.007 here, but the applicability result does not: the three compound leave-one-out errors become 1.435, 1.184 and 2.415, all above the threshold rather than below it. What differs is the exponents and not the composition, since the rebuild re-reads sixteen of these eighteen papers and adds none, and the deposited cohort restricted to those sixteen still gives a median exponent of 1.277 against the rebuild's 2.576. Two differences in construction bear on how the two are compared: the rebuild evaluates a geometric grid of ten interpolated fields per paper rather than each source's own field values, and it applies the reduced-temperature clause per point rather than per fit. Aggregating one observation per paper and compound instead of per fit, the deposited errors are 0.472, 0.476 and 0.301 and the rebuilt ones are 0.867, 1.007 and 2.264. We report the deposited cohort because every other result in this paper is built on it, and we report this disagreement because it is the deposit's own evidence about the same seventeen figures. The comparison is regenerated by analysis/temperature_axis_cohorts.py.</w:t>
      </w:r>
    </w:p>
    <w:p>
      <w:pPr>
        <w:spacing w:after="0" w:line="480"/>
        <w:ind w:firstLine="431"/>
        <w:jc w:val="both"/>
      </w:pPr>
      <w:r>
        <w:rPr>
          <w:rFonts w:ascii="Times New Roman" w:cs="Times New Roman" w:eastAsia="Times New Roman" w:hAnsi="Times New Roman"/>
          <w:sz w:val="24"/>
          <w:szCs w:val="24"/>
        </w:rPr>
        <w:t>The 122-type family now holds two compounds on this axis, Ba(FeAs)2 with 84 fits and K(FeAs)2 with 21. A leave-one-compound-out across two compounds is a statement about how well each predicts the other, and we report it as that rather than as a family-level generalization test.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cannot be assessed on this axis by leave-one-compound-out at all, because the 257-fit temperature-exponent cohort contains no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fits, as the 260-fit cohort before the repairs did not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literature in this corpus reports field sweeps at fixed temperature far more often than temperature sweeps at fixed field. The dispatch nevertheless emits temperature-dependent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predictions, and we state where that exponent comes from rather than leaving it implicit. It is drawn from a separate per-paper Form 3 cohort of 15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fits across 15 arXiv sources, spanning bulk, thin-film, wire and tape specimens, with a median βT of 1.14. Six of the fifteen rest on three points, which is the minimum a three-parameter form admits, and two of those six return temperature exponents of 0.011 and 0.211. The largest rms in the cohort is 0.474 in log10 Jc. An earlier version of this sentence described one fit resting on three points and one fitting with an rms of 6.3; the second was a transcription of 6.3 by ten to the minus fourteenth, which is a fit to a constant, with a temperature exponent of three by ten to the minus thirteenth and a prefactor of exactly 6.0, and is the best-conditioned row in the file rather than the worst.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That cohort is large enough to supply a family median but too small and too concentrated in one compound to support a leave-one-compound-out test, which is why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temperature axis is dispatched but not validated, and why Table III records it as not assessable rather than as passing.</w:t>
      </w:r>
    </w:p>
    <w:p>
      <w:pPr>
        <w:spacing w:after="0" w:line="480"/>
        <w:ind w:firstLine="431"/>
        <w:jc w:val="both"/>
      </w:pPr>
      <w:r>
        <w:rPr>
          <w:rFonts w:ascii="Times New Roman" w:cs="Times New Roman" w:eastAsia="Times New Roman" w:hAnsi="Times New Roman"/>
          <w:i/>
          <w:iCs/>
          <w:sz w:val="24"/>
          <w:szCs w:val="24"/>
        </w:rPr>
        <w:t xml:space="preserve">Field axis.</w:t>
      </w:r>
      <w:r>
        <w:rPr>
          <w:rFonts w:ascii="Times New Roman" w:cs="Times New Roman" w:eastAsia="Times New Roman" w:hAnsi="Times New Roman"/>
          <w:sz w:val="24"/>
          <w:szCs w:val="24"/>
        </w:rPr>
        <w:t xml:space="preserve"> The same protocol on the field-axis cohort gives 0.753 for MgB2-class, 0.973 for iron pnictide 122-type and 1.093 for iron chalcogenide 11-type, with iron pnictide 1111-type at 2.571.</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These values are computed through the per-paper resolved critical scale of Section II.C and are conditional on it. The ordering across families is no longer the same on both axes: iron chalcogenide 11-type is first on the temperature axis and third on the field axis. Repeating the field-axis test with a substructure-median predictor, matching the temperature-axis protocol exactly, gives 0.751, 0.929, 1.094 and 2.622, and reproduces the field-axis ordering.</w:t>
      </w:r>
    </w:p>
    <w:p>
      <w:pPr>
        <w:spacing w:after="0" w:line="480"/>
        <w:ind w:firstLine="431"/>
        <w:jc w:val="both"/>
      </w:pPr>
      <w:r>
        <w:rPr>
          <w:rFonts w:ascii="Times New Roman" w:cs="Times New Roman" w:eastAsia="Times New Roman" w:hAnsi="Times New Roman"/>
          <w:sz w:val="24"/>
          <w:szCs w:val="24"/>
        </w:rPr>
        <w:t xml:space="preserve">The applicability claim we carry forward is therefore graded rather than uniform, and on the field axis we no longer carry one. On the temperature axis, whose critical scale is directly reported, all three assessable families fall below the screening-grade threshold on the repaired cohort, at 0.546 for iron chalcogenide 11-type, 0.580 for iron pnictide 122-type and 0.513 for iron pnictide 1111-type, against 0.588, 1.314 and 3.120 on the cohort as published, where only the chalcogenide family passed. Section III.C states what part of that movement is a change of scale rather than of predictive skill, and the qualified claim made there is the one we carry. On the temperature axis the substructure label separates the families and the anchor repair strengthens the separation. Taking source papers as the unit and shuffling the substructure label between them, the fraction of between-paper variance in the temperature exponent that the family label accounts for is 0.524 with a permutation p of 0.007 after the repair; matched on the seventeen papers common to both versions it was 0.436 with p of 0.016 before it. It uses no fitted field scale, and it is what the conditioning claim rests on. An earlier version of this section called it the one result that improved under every correction. That is not accurate: at the step that removed two papers whose extractions could not be reproduced, eta squared rose while the permutation probability rose with it, from 0.012 on nineteen papers to 0.016 on the seventeen matched ones, and both are reported as the result. We test the label against a stronger null than a shuffle across papers, because the family label is constant within a compound and the obvious objection is that it is compound identity with fewer labels. The seventeen papers carry eight compounds, and every distinct way of forming three families from those eight compounds can be enumerated rather than sampled: there are 966, and four of them reach the observed separation, an exact probability of 0.0041. Taking one observation per compound instead of per paper it is 0.0083. Restricting the enumeration to groupings that also match the real family sizes leaves 280, of which two reach it, and one of those two is an alternative grouping that separates the exponent slightly better than the substructure label does, at 0.532. The family label is therefore not a relabelling of compound identity on this axis, and it is also not the only grouping of these compounds that would separate the exponent. The enumeration is in analysis/family_label_compound_null.py. On the field axis we report no family-level verdict at all, for three reasons. The cohort that survives the anchor repairs and the stated fitting protocol is 52 fits from 12 papers rather than 94 from 16. The fitted field exponent does not separate substructure families on either cohort: the fraction of between-paper variance that the family label accounts for is 0.038 with a permutation p of 0.98 after repair and 0.055 with p of 0.93 before it. And the per-family leave-one-compound-out errors reverse when the anchors are corrected,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moving from 0.753 to 1.230 and iron pnictide 122-type from 0.973 to 1.957 while iron chalcogenide 11-type moves from 1.093 to 0.707, so the two families that cleared the threshold stop clearing and the one that failed starts. A family-level verdict that changes sign when the scale behind it is corrected is not a verdict, and we withdraw the three we previously reported rather than replace them with their mirror image. Table III records the temperature-axis result for each family and records the field axis as not validated, and the dispatch of Section III.E carries that label through to the predictions.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The 1111-type result also illustrates why prediction scope must be stated precisely. The same family supports accurate per-compound parametric fitting when sufficient data exist for a specific material: LaFeAsO gives a field-exponent error of 0.022 at per-compound parametric scope. The failure occurs when generalizing from one 1111-type compound to another through a single substructure-level central tendency. This distinction prevents an accurate fit for one compound from being read as a reliable cross-compound predictor for the family.</w:t>
      </w:r>
    </w:p>
    <w:p>
      <w:pPr>
        <w:spacing w:after="0" w:line="480"/>
        <w:ind w:firstLine="431"/>
        <w:jc w:val="both"/>
      </w:pPr>
      <w:r>
        <w:rPr>
          <w:rFonts w:ascii="Times New Roman" w:cs="Times New Roman" w:eastAsia="Times New Roman" w:hAnsi="Times New Roman"/>
          <w:sz w:val="24"/>
          <w:szCs w:val="24"/>
        </w:rPr>
        <w:t xml:space="preserve">All validation results are reported with explicit scope labels. A rank-order test, a universality test, a substructure-level uncertainty estimate, and a per-paper leave-one-out test probe different aspects of the method, and each is tied to its cohort, protocol, and predictor configuration. This labeling is essential for a literature-derived model, where the same numerical value can carry different meanings depending on how the data were grouped.</w:t>
      </w:r>
    </w:p>
    <w:p>
      <w:pPr>
        <w:pStyle w:val="Heading2"/>
        <w:spacing w:after="200" w:before="360"/>
        <w:jc w:val="center"/>
      </w:pPr>
      <w:r>
        <w:rPr>
          <w:rFonts w:ascii="Times New Roman" w:cs="Times New Roman" w:eastAsia="Times New Roman" w:hAnsi="Times New Roman"/>
          <w:b/>
          <w:bCs/>
          <w:color w:val="000000"/>
          <w:sz w:val="24"/>
          <w:szCs w:val="24"/>
        </w:rPr>
        <w:t xml:space="preserve">D. In-corpus ranking and universal scaling tests</w:t>
      </w:r>
    </w:p>
    <w:p>
      <w:pPr>
        <w:spacing w:after="0" w:line="480"/>
        <w:ind w:firstLine="431"/>
        <w:jc w:val="both"/>
      </w:pPr>
      <w:r>
        <w:rPr>
          <w:rFonts w:ascii="Times New Roman" w:cs="Times New Roman" w:eastAsia="Times New Roman" w:hAnsi="Times New Roman"/>
          <w:sz w:val="24"/>
          <w:szCs w:val="24"/>
        </w:rPr>
        <w:t xml:space="preserve">Each of the 23 fully fittable compounds of the pre-withdrawal cohort is held out in turn while the remainder train the predictor, and the held-out compound is ranked using the three-anchor protocol. Across the tested anchor-selection regimes (Supplemental Material Sec. 6) the Spearman correlation ranges from +0.582 to +0.964,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is 0.667 wherever the three-anchor comparison is well defined. The aggregation therefore retains useful rank signal inside the calibrated fittable cohort when sufficient anchors are available. This supports ranking within the validated regime, not unrestricted ranking across arbitrary compounds, and it applies to compounds that have measured curves in the corpus, not to the unmeasured candidates of Section III.E.</w:t>
      </w:r>
    </w:p>
    <w:p>
      <w:pPr>
        <w:spacing w:after="0" w:line="480"/>
        <w:ind w:firstLine="431"/>
        <w:jc w:val="both"/>
      </w:pPr>
      <w:r>
        <w:rPr>
          <w:rFonts w:ascii="Times New Roman" w:cs="Times New Roman" w:eastAsia="Times New Roman" w:hAnsi="Times New Roman"/>
          <w:sz w:val="24"/>
          <w:szCs w:val="24"/>
        </w:rPr>
        <w:t xml:space="preserve">Next we test a simpler alternative: universal reduced-variable scaling, under which a single exponent would characterize the diverse cohort once temperature and field are normalized to their critical values. This test runs through the closed-form path of Section II.C, which takes the upper critical field directly from the compiled reference table and does not use the per-paper resolved scale. It is therefore not conditional on the field-axis provenance issue of Section III.F, and we verified separately that the cohort it uses shares no source papers with those affected by the magnetic-field unit repair.</w:t>
      </w:r>
    </w:p>
    <w:p>
      <w:pPr>
        <w:spacing w:after="0" w:line="480"/>
        <w:ind w:firstLine="431"/>
        <w:jc w:val="both"/>
      </w:pPr>
      <w:r>
        <w:rPr>
          <w:rFonts w:ascii="Times New Roman" w:cs="Times New Roman" w:eastAsia="Times New Roman" w:hAnsi="Times New Roman"/>
          <w:sz w:val="24"/>
          <w:szCs w:val="24"/>
        </w:rPr>
        <w:t xml:space="preserve">The test bins the 23 fully fittable compounds of the pre-withdrawal cohort on an 81-cell grid formed from nine equal-width bins of width 0.1 in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nine in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spanning 0 to 0.9 on each axis. Sixty-six cells meet the minimum population threshold of five records. The median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1.238 dex, against a global standard deviation of 1.423 dex over the same cohort under the same filters.</w:t>
      </w:r>
    </w:p>
    <w:p>
      <w:pPr>
        <w:spacing w:after="0" w:line="480"/>
        <w:ind w:firstLine="431"/>
        <w:jc w:val="both"/>
      </w:pPr>
      <w:r>
        <w:rPr>
          <w:rFonts w:ascii="Times New Roman" w:cs="Times New Roman" w:eastAsia="Times New Roman" w:hAnsi="Times New Roman"/>
          <w:sz w:val="24"/>
          <w:szCs w:val="24"/>
        </w:rPr>
        <w:t xml:space="preserve">We report two reduction metrics, because the distinction between them is a recurring source of confusion in scaling-collapse claims and because they differ here by roughly a factor of two. Writing σ̃</w:t>
      </w:r>
      <w:r>
        <w:rPr>
          <w:rFonts w:ascii="Times New Roman" w:cs="Times New Roman" w:eastAsia="Times New Roman" w:hAnsi="Times New Roman"/>
          <w:i w:val="false"/>
          <w:iCs w:val="false"/>
          <w:sz w:val="24"/>
          <w:szCs w:val="24"/>
          <w:vertAlign w:val="subscript"/>
        </w:rPr>
        <w:t xml:space="preserve">bin</w:t>
      </w:r>
      <w:r>
        <w:rPr>
          <w:rFonts w:ascii="Times New Roman" w:cs="Times New Roman" w:eastAsia="Times New Roman" w:hAnsi="Times New Roman"/>
          <w:sz w:val="24"/>
          <w:szCs w:val="24"/>
        </w:rPr>
        <w:t xml:space="preserve"> for the median within-bin standard deviation and σ</w:t>
      </w:r>
      <w:r>
        <w:rPr>
          <w:rFonts w:ascii="Times New Roman" w:cs="Times New Roman" w:eastAsia="Times New Roman" w:hAnsi="Times New Roman"/>
          <w:i w:val="false"/>
          <w:iCs w:val="false"/>
          <w:sz w:val="24"/>
          <w:szCs w:val="24"/>
          <w:vertAlign w:val="subscript"/>
        </w:rPr>
        <w:t xml:space="preserve">global</w:t>
      </w:r>
      <w:r>
        <w:rPr>
          <w:rFonts w:ascii="Times New Roman" w:cs="Times New Roman" w:eastAsia="Times New Roman" w:hAnsi="Times New Roman"/>
          <w:sz w:val="24"/>
          <w:szCs w:val="24"/>
        </w:rPr>
        <w:t xml:space="preserve"> for the standard deviation over the same cohort under the same filters: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t>σ</m:t>
            </m:r>
          </m:sub>
        </m:sSub>
        <m:r>
          <m:rPr>
            <m:sty m:val="p"/>
          </m:rPr>
          <m:t>=</m:t>
        </m:r>
        <m:r>
          <m:t>1</m:t>
        </m:r>
        <m:r>
          <m:rPr>
            <m:sty m:val="p"/>
          </m:rPr>
          <m:t>−</m:t>
        </m:r>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oMath>
      <w:r>
        <w:rPr>
          <w:rFonts w:ascii="Times New Roman" w:cs="Times New Roman" w:eastAsia="Times New Roman" w:hAnsi="Times New Roman"/>
          <w:sz w:val="24"/>
          <w:szCs w:val="24"/>
        </w:rPr>
        <w:t xml:space="preserve">	(9)</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rPr>
                <m:sty m:val="p"/>
              </m:rPr>
              <m:t>v</m:t>
            </m:r>
            <m:r>
              <m:rPr>
                <m:sty m:val="p"/>
              </m:rPr>
              <m:t>a</m:t>
            </m:r>
            <m:r>
              <m:rPr>
                <m:sty m:val="p"/>
              </m:rPr>
              <m:t>r</m:t>
            </m:r>
          </m:sub>
        </m:sSub>
        <m:r>
          <m:rPr>
            <m:sty m:val="p"/>
          </m:rPr>
          <m:t>=</m:t>
        </m:r>
        <m:r>
          <m:t>1</m:t>
        </m:r>
        <m:r>
          <m:rPr>
            <m:sty m:val="p"/>
          </m:rPr>
          <m:t>−</m:t>
        </m:r>
        <m:sSup>
          <m:e>
            <m:d>
              <m:dPr>
                <m:begChr m:val="("/>
                <m:sepChr m:val=""/>
                <m:endChr m:val=")"/>
                <m:grow/>
              </m:dPr>
              <m:e>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e>
            </m:d>
          </m:e>
          <m:sup>
            <m:r>
              <m:t>​</m:t>
            </m:r>
            <m:r>
              <m:t>2</m:t>
            </m:r>
          </m:sup>
        </m:sSup>
      </m:oMath>
      <w:r>
        <w:rPr>
          <w:rFonts w:ascii="Times New Roman" w:cs="Times New Roman" w:eastAsia="Times New Roman" w:hAnsi="Times New Roman"/>
          <w:sz w:val="24"/>
          <w:szCs w:val="24"/>
        </w:rPr>
        <w:t xml:space="preserve">	(10)</w:t>
      </w:r>
    </w:p>
    <w:p>
      <w:pPr>
        <w:spacing w:after="0" w:line="480"/>
        <w:ind w:firstLine="431"/>
        <w:jc w:val="both"/>
      </w:pPr>
      <w:r>
        <w:rPr>
          <w:rFonts w:ascii="Times New Roman" w:cs="Times New Roman" w:eastAsia="Times New Roman" w:hAnsi="Times New Roman"/>
          <w:sz w:val="24"/>
          <w:szCs w:val="24"/>
        </w:rPr>
        <w:t xml:space="preserve">Reduced-variable binning therefore reduces the within-bin standard deviation by 13.0%, equivalently a variance reduction of 24.3%. We report the standard-deviation figure as primary and give the variance-scale equivalent explicitly, because the two differ by roughly a factor of two and the distinction is a recurring source of confusion in scaling-collapse claims. A percentage on its own does not settle whether a collapse has occurred, because any binning of a two-dimensional cloud reduces within-bin scatter, and an earlier version of this section compared these figures against a 30% adoption bar for which we could give no construction. We therefore test the claim directly, on a point-level rebuild of this cohort covering 6070 digitized points from 27 papers, 18 compounds and 171 curves. First, standardize the two reduced coordinates and bin on a grid rotated to a random angle, which leaves the geometry and the local density of the cloud unchanged and destroys only the meaning of the axes. Over 400 rotations the physical grid gives 39.3% against the rotated grids' 41.6% on the same statistic, so the reduced coordinates are not better than a random rotation of themselves. Second, bin the same records on unnormalized temperature and applied field. That grid reduces the within-cell standard deviation by 67.0% on 42 cells against 39.3% on 73, and paired on the same resampled curves it wins by 27.7 points with a 95% interval of 4.7 to 37.5. The mechanism is visible in the cell composition: seventeen of the forty-two unnormalized cells hold a single compound against three of the seventy-three reduced cells, so the unnormalized grid separates compounds rather than collapsing them. Measurements cluster at a few conventional temperatures and low applied fields, and that convention tracks the material. That direction is not one number. It holds in all seven leave-one-family-out refits, at minimum cell sizes of 3, 5, 8 and 12, and with the duplicate digitisation of one figure removed. Both tests point the same way as the percentage: the organizing variables here are material identity and measurement context, not reduced temperature and reduced field. A third line of evidence reaches the same place from model selection rather than from binning. Under a source-paper holdout, in which every measurement of a held-out source is withheld, none of the three candidate functional forms of Sec. II.C reaches a median error below 0.9 dex, against 0.32 to 0.45 dex when the holdout is drawn point by point within a compound. That is a factor of eight or more in critical current between predicting an unseen measurement of a source already seen and predicting an unseen source. It rests on the eight compounds that draw on more than one source, so we report it as a direction rather than as a measurement.</w:t>
      </w:r>
    </w:p>
    <w:p>
      <w:pPr>
        <w:spacing w:after="0" w:line="480"/>
        <w:ind w:firstLine="431"/>
        <w:jc w:val="both"/>
      </w:pPr>
      <w:r>
        <w:rPr>
          <w:rFonts w:ascii="Times New Roman" w:cs="Times New Roman" w:eastAsia="Times New Roman" w:hAnsi="Times New Roman"/>
          <w:sz w:val="24"/>
          <w:szCs w:val="24"/>
        </w:rPr>
        <w:t xml:space="preserve">Because 14 of the 23 compounds draw their upper critical field from the estimated tier of the reference table (Sec. II.B), we tested whether the conclusion depends on those estimates. Perturbing all 14 by independent lognormal factors with a 35% one-sigma scale error and repeating the binning 400 times, the standard-deviation reduction stayed below 30% in every draw and the variance-scale reduction reached 30% in 9 of the 400. The reduction is therefore stable against the accuracy of the estimated critical fields on the metric we report as primary and moves a little on the other. The 30% figure appears here only as the reference level used in the original submission, and it no longer carries a decision.</w:t>
      </w:r>
    </w:p>
    <w:p>
      <w:pPr>
        <w:spacing w:after="0" w:line="480"/>
        <w:ind w:firstLine="431"/>
        <w:jc w:val="both"/>
      </w:pPr>
      <w:r>
        <w:rPr>
          <w:rFonts w:ascii="Times New Roman" w:cs="Times New Roman" w:eastAsia="Times New Roman" w:hAnsi="Times New Roman"/>
          <w:sz w:val="24"/>
          <w:szCs w:val="24"/>
        </w:rPr>
        <w:t xml:space="preserve">The residual variance, at minimum 76% of the global variance even under the most charitable variance-scale reading, is associated with compound identity, sample form, and substructure family. A family-conditional exponent model provides only marginal improvement over a global-exponent model: median holdout error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0.604 dex against 0.613 dex, a gain of 0.009 dex that is below bootstrap precision. The per-compound parametric reference reaches 0.260 dex. Universal scaling is therefore too coarse for this corpus and family-only conditioning is insufficient; the operational prediction scope must retain both the substructure family and the measurement context.</w:t>
      </w:r>
    </w:p>
    <w:p>
      <w:pPr>
        <w:spacing w:after="140" w:before="360" w:line="240"/>
        <w:jc w:val="both"/>
      </w:pPr>
      <w:r>
        <w:rPr>
          <w:rFonts w:ascii="Times New Roman" w:cs="Times New Roman" w:eastAsia="Times New Roman" w:hAnsi="Times New Roman"/>
          <w:b/>
          <w:bCs/>
          <w:sz w:val="20"/>
          <w:szCs w:val="20"/>
        </w:rPr>
        <w:t xml:space="preserve">TABLE III.</w:t>
      </w:r>
      <w:r>
        <w:rPr>
          <w:rFonts w:ascii="Times New Roman" w:cs="Times New Roman" w:eastAsia="Times New Roman" w:hAnsi="Times New Roman"/>
          <w:sz w:val="20"/>
          <w:szCs w:val="20"/>
        </w:rPr>
        <w:t xml:space="preserve"> Scope-explicit validation claims. Each row names the cohort, protocol, result, and interpretation, and identifies which critical-scale implementation of Sec. II.C produced it.</w:t>
      </w:r>
    </w:p>
    <w:tbl>
      <w:tblPr>
        <w:tblW w:type="dxa" w:w="9360"/>
        <w:tblBorders>
          <w:top w:val="double" w:sz="6"/>
          <w:left w:val="none" w:sz="0"/>
          <w:bottom w:val="double" w:sz="6"/>
          <w:right w:val="none" w:sz="0"/>
          <w:insideH w:val="none" w:sz="0"/>
          <w:insideV w:val="none" w:sz="0"/>
        </w:tblBorders>
      </w:tblPr>
      <w:tblGrid>
        <w:gridCol w:w="1900"/>
        <w:gridCol w:w="2350"/>
        <w:gridCol w:w="3000"/>
        <w:gridCol w:w="211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Claim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Scope and critical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Result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Interpretation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Universal scaling does not organize the literature-scale data at this scope.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Reduced-temperature and reduced-field binning across the 23 fully fittable compounds of the pre-withdrawal cohort; 9 by 9 equal-width grid, 66 populated cells. Literature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Within-bin standard deviation falls 13.0%, variance-scale equivalent 24.3%. On a point-level rebuild the reduced coordinates give no more reduction than the same grid rotated to a random angle, 39.3% against 41.6% over 400 rotations, and unnormalized temperature and field do better on the same records, 67.0% on 42 cells against 39.3% on 73, by isolating compounds. Zero of 400 critical-field perturbation draws exceed 30% on the standard-deviation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 current density cannot be treated as a universal cross-compound function at this literature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Sample form is a required conditioning variable.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Variance decomposition of the per-paper critical-current anchor within each populated family; 96 per-paper anchors in total, of which 56 fall in the three families plotted. No exponent, no field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 the repaired anchors sample form explains 81%, 37% and 4% of within-family anchor variance for iron chalcogenide 11-type, iron pnictide 122-type and MgB2-class respectively, against 37%, 49% and 12% on the anchors as deposited. The diagnostic sets the conditioning rule per family; it does not establish the distinction to significance, and Sec. III.A gives the clustered-null floors that prevent it from doing so.</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Published critical-current data contain measurement and sample-preparation context that must be modeled rather than averaged away.</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reduces cross-family exponent error.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Leave-one-substructure-out validation, matched five-family cohort. Per-paper resolved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No fold improvement is reported. Under leave-one-substructure-out the mean absolute error in the field exponent is 12.3 without sample-form conditioning and 14.9 with it across the seven families carrying a descriptor, and 1.19 without and 0.55 with it on the fits passing physicality over the three families the conditional scope can score. Neither predictor is distinguishable from the out-of-sample median of the training fits, and removing any single family moves the comparison across unity. The interquartile bound reported with Stage 3 covers the residual in four of four families once the cuprate families are removed.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recovers signal that pooled regression treats as noise, subject to the field-scale qualification of Sec. III.F.</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Applicability is family dependent, and axis 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Compound leave-one-out within each substructure family, reported per exponent.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Temperature axis, on the repaired 257-fit cohort: iron chalcogenide 11-type 0.546, 122-type 0.580 and 1111-type 0.513 all fall below the screening-grade threshold of 1 in the exponent, against 0.588, 1.314 and 3.120 as published; the threshold is absolute and the repairs compress the exponents, so Sec. III.C states what part of that movement is scale rather than skill. On the exponents rebuilt from the source figures, which are deposited with this paper and which none of these fits reproduces, the same three errors are 1.435, 1.184 and 2.415 and none falls below the threshold; the substructure separation survives that rebuild and this result does not. MgB2-class not assessable. Field axis: not validated at family level, and no verdict is reported. The published values were MgB2-class 0.753 and 122-type 0.973 clearing with 11-type 1.093 and 1111-type 2.571 not clearing; on the repaired 52-fit cohort they are 1.230, 1.957, 0.707 and 3.327, which reverses which families clear. The exponent also separates no family on either cohort, at 0.038 with p 0.98 after repair and 0.055 with p 0.93 before.</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prediction is valid per family and per axis, and the dispatch carries that label.</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Prediction requires sufficient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External validation on out-of-corpus cuprates.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One anchor gives 1.592 dex in log10 Jc and underperforms a transition-temperature-only baseline; on the matched three monotonic cuprates three anchors reduce the error from 1.267 to 0.694, a 45.2% reduction.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three-anchor requirement is an empirical refusal gate, not a tuning choice.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framework gives family-scope screening predictions.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Substructure-aggregate uncertainty at typical iron-pnictide 122 conditions.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One-sigma uncertainty is 0.27 dex in log10 Jc on the iron pnictide 122-type scope, propagated in quadrature over the three fitted terms on the repaired temperature exponent. That scope dispatches nothing; on the MgB2 class, which does, the same propagation gives 0.49 dex at 4.2 K and 0.57 dex at 20 K.</w:t>
            </w:r>
            <w:r>
              <w:rPr>
                <w:rFonts w:ascii="Times New Roman" w:cs="Times New Roman" w:eastAsia="Times New Roman" w:hAnsi="Times New Roman"/>
                <w:i w:val="false"/>
                <w:iCs w:val="false"/>
                <w:sz w:val="19"/>
                <w:szCs w:val="19"/>
                <w:vertAlign w:val="subscript"/>
              </w:rPr>
              <w:t xml:space="preserve"/>
            </w:r>
            <w:r>
              <w:rPr>
                <w:rFonts w:ascii="Times New Roman" w:cs="Times New Roman" w:eastAsia="Times New Roman" w:hAnsi="Times New Roman"/>
                <w:sz w:val="19"/>
                <w:szCs w:val="19"/>
              </w:rPr>
              <w:t xml:space="preserve"/>
            </w:r>
            <w:r>
              <w:rPr>
                <w:rFonts w:ascii="Times New Roman" w:cs="Times New Roman" w:eastAsia="Times New Roman" w:hAnsi="Times New Roman"/>
                <w:i/>
                <w:iCs/>
                <w:sz w:val="19"/>
                <w:szCs w:val="19"/>
              </w:rPr>
              <w:t xml:space="preserve"/>
            </w:r>
            <w:r>
              <w:rPr>
                <w:rFonts w:ascii="Times New Roman" w:cs="Times New Roman" w:eastAsia="Times New Roman" w:hAnsi="Times New Roman"/>
                <w:i w:val="false"/>
                <w:iCs w:val="false"/>
                <w:sz w:val="19"/>
                <w:szCs w:val="19"/>
                <w:vertAlign w:val="subscript"/>
              </w:rPr>
              <w:t xml:space="preserve"/>
            </w:r>
            <w:r>
              <w:rPr>
                <w:rFonts w:ascii="Times New Roman" w:cs="Times New Roman" w:eastAsia="Times New Roman" w:hAnsi="Times New Roman"/>
                <w:sz w:val="19"/>
                <w:szCs w:val="19"/>
              </w:rPr>
              <w:t xml:space="preserve"/>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method supports family-level screening; per-compound ranking is not emitted, for the structural reason given in Sec. III.E.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Refusal is part of the model output.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Candidate dispatch across 183 distinct compounds in three substructure families, of which one emits at the current gate settings. Two of the three clear the compound leave-one-out threshold on the temperature axis; the family that emits is not assessable on that axis and no family-level field verdict is reported for any family.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84 compounds receive at least one non-refused prediction target;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r>
              <w:rPr>
                <w:rFonts w:ascii="Times New Roman" w:cs="Times New Roman" w:eastAsia="Times New Roman" w:hAnsi="Times New Roman"/>
                <w:i/>
                <w:iCs/>
                <w:sz w:val="19"/>
                <w:szCs w:val="19"/>
              </w:rPr>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predictor reports its scope explicitly and avoids unsupported numerical predictions.</w:t>
            </w:r>
          </w:p>
        </w:tc>
      </w:tr>
    </w:tbl>
    <w:p>
      <w:pPr>
        <w:spacing w:after="240"/>
      </w:pPr>
      <w:r>
        <w:rPr>
          <w:sz w:val="8"/>
          <w:szCs w:val="8"/>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E. Candidate prediction dispatch</w:t>
      </w:r>
    </w:p>
    <w:p>
      <w:pPr>
        <w:spacing w:after="0" w:line="480"/>
        <w:ind w:firstLine="431"/>
        <w:jc w:val="both"/>
      </w:pPr>
      <w:r>
        <w:rPr>
          <w:rFonts w:ascii="Times New Roman" w:cs="Times New Roman" w:eastAsia="Times New Roman" w:hAnsi="Times New Roman"/>
          <w:sz w:val="24"/>
          <w:szCs w:val="24"/>
        </w:rPr>
        <w:t xml:space="preserve">Uncertainty in the substructure aggregate is propagated in quadrature over the three fitted terms rather than taken from the spread of any one of them. Writing θ =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σ</w:t>
      </w:r>
      <w:r>
        <w:rPr>
          <w:rFonts w:ascii="Times New Roman" w:cs="Times New Roman" w:eastAsia="Times New Roman" w:hAnsi="Times New Roman"/>
          <w:i w:val="false"/>
          <w:iCs w:val="false"/>
          <w:sz w:val="24"/>
          <w:szCs w:val="24"/>
          <w:vertAlign w:val="subscript"/>
        </w:rPr>
        <w:t xml:space="preserve">a</w:t>
      </w:r>
      <w:r>
        <w:rPr>
          <w:rFonts w:ascii="Times New Roman" w:cs="Times New Roman" w:eastAsia="Times New Roman" w:hAnsi="Times New Roman"/>
          <w:sz w:val="24"/>
          <w:szCs w:val="24"/>
        </w:rPr>
        <w:t xml:space="preserve"> for the residual standard deviation of each term within the substructure scope, the propagated variance is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σ</m:t>
            </m:r>
          </m:e>
          <m:sup>
            <m:r>
              <m:t>2</m:t>
            </m:r>
          </m:sup>
        </m:sSup>
        <m:r>
          <m:rPr>
            <m:sty m:val="p"/>
          </m:rPr>
          <m:t>=</m:t>
        </m:r>
        <m:nary>
          <m:naryPr>
            <m:chr m:val="∑"/>
            <m:limLoc m:val="undOvr"/>
            <m:subHide m:val="off"/>
            <m:supHide m:val="on"/>
          </m:naryPr>
          <m:sub>
            <m:r>
              <m:t>a</m:t>
            </m:r>
          </m:sub>
          <m:sup>
            <m:r>
              <m:t>​</m:t>
            </m:r>
          </m:sup>
          <m:e>
            <m:sSup>
              <m:e>
                <m:d>
                  <m:dPr>
                    <m:begChr m:val="("/>
                    <m:sepChr m:val=""/>
                    <m:endChr m:val=")"/>
                    <m:grow/>
                  </m:dPr>
                  <m:e>
                    <m:f>
                      <m:fPr>
                        <m:type m:val="bar"/>
                      </m:fPr>
                      <m:num>
                        <m:r>
                          <m:rPr>
                            <m:sty m:val="p"/>
                          </m:rPr>
                          <m:t>∂</m:t>
                        </m:r>
                        <m:sSub>
                          <m:e>
                            <m:r>
                              <m:rPr>
                                <m:sty m:val="p"/>
                              </m:rPr>
                              <m:t>log</m:t>
                            </m:r>
                          </m:e>
                          <m:sub>
                            <m:r>
                              <m:t>10</m:t>
                            </m:r>
                          </m:sub>
                        </m:sSub>
                        <m:sSub>
                          <m:e>
                            <m:r>
                              <m:t>J</m:t>
                            </m:r>
                          </m:e>
                          <m:sub>
                            <m:r>
                              <m:t>c</m:t>
                            </m:r>
                          </m:sub>
                        </m:sSub>
                      </m:num>
                      <m:den>
                        <m:r>
                          <m:rPr>
                            <m:sty m:val="p"/>
                          </m:rPr>
                          <m:t>∂</m:t>
                        </m:r>
                        <m:sSub>
                          <m:e>
                            <m:r>
                              <m:t>θ</m:t>
                            </m:r>
                          </m:e>
                          <m:sub>
                            <m:r>
                              <m:t>a</m:t>
                            </m:r>
                          </m:sub>
                        </m:sSub>
                      </m:den>
                    </m:f>
                  </m:e>
                </m:d>
              </m:e>
              <m:sup>
                <m:r>
                  <m:t>​</m:t>
                </m:r>
                <m:r>
                  <m:t>2</m:t>
                </m:r>
              </m:sup>
            </m:sSup>
          </m:e>
        </m:nary>
        <m:sSubSup>
          <m:e>
            <m:r>
              <m:t>σ</m:t>
            </m:r>
          </m:e>
          <m:sub>
            <m:r>
              <m:t>a</m:t>
            </m:r>
          </m:sub>
          <m:sup>
            <m:r>
              <m:t>2</m:t>
            </m:r>
          </m:sup>
        </m:sSubSup>
        <m:r>
          <m:rPr>
            <m:sty m:val="p"/>
          </m:rPr>
          <m:t>,</m:t>
        </m:r>
        <m:r>
          <m:t>  </m:t>
        </m:r>
        <m:r>
          <m:t>θ</m:t>
        </m:r>
        <m:r>
          <m:rPr>
            <m:sty m:val="p"/>
          </m:rPr>
          <m:t>=</m:t>
        </m:r>
        <m:d>
          <m:dPr>
            <m:begChr m:val="("/>
            <m:sepChr m:val=""/>
            <m:endChr m:val=")"/>
            <m:grow/>
          </m:dPr>
          <m:e>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 </m:t>
            </m:r>
            <m:sSub>
              <m:e>
                <m:r>
                  <m:t>β</m:t>
                </m:r>
              </m:e>
              <m:sub>
                <m:r>
                  <m:t>T</m:t>
                </m:r>
              </m:sub>
            </m:sSub>
            <m:r>
              <m:rPr>
                <m:sty m:val="p"/>
              </m:rPr>
              <m:t>,</m:t>
            </m:r>
            <m:r>
              <m:t> </m:t>
            </m:r>
            <m:sSub>
              <m:e>
                <m:r>
                  <m:t>β</m:t>
                </m:r>
              </m:e>
              <m:sub>
                <m:r>
                  <m:t>H</m:t>
                </m:r>
              </m:sub>
            </m:sSub>
          </m:e>
        </m:d>
      </m:oMath>
      <w:r>
        <w:rPr>
          <w:rFonts w:ascii="Times New Roman" w:cs="Times New Roman" w:eastAsia="Times New Roman" w:hAnsi="Times New Roman"/>
          <w:sz w:val="24"/>
          <w:szCs w:val="24"/>
        </w:rPr>
        <w:t xml:space="preserve">	(11)</w:t>
      </w:r>
    </w:p>
    <w:p>
      <w:pPr>
        <w:spacing w:after="0" w:line="480"/>
        <w:ind w:firstLine="431"/>
        <w:jc w:val="both"/>
      </w:pPr>
      <w:r>
        <w:rPr>
          <w:rFonts w:ascii="Times New Roman" w:cs="Times New Roman" w:eastAsia="Times New Roman" w:hAnsi="Times New Roman"/>
          <w:sz w:val="24"/>
          <w:szCs w:val="24"/>
        </w:rPr>
        <w:t xml:space="preserve">This treats the three terms as independent, and we state plainly why we do not carry a covariance term. Estimating a correlation between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requires records that contribute both exponents, and within the dispatch families there are none: in the iron pnictide 122-type family the 36 field-axis fits and the 106 temperature-axis fits share no source paper and compound in common. The two exponents are therefore measured on disjoint sets of curves, and a within-family correlation between them is not estimable from this corpus rather than being estimated and found small. This is the same supply limitation that Section III.F reports for the critical-field layer, appearing one level up in the uncertainty model, and it is a property of what the literature reports rather than of the aggregation. The direction in which a correlation would move the result is not the same for all three pairs, and an earlier version of this paragraph asserted that it was. Writing log10 Jc as the anchor plus βT log10(1 - T/Tc) plus βH log10(1 - H/Hc2,0), the derivative with respect to the anchor is positive while both logarithms are negative, so a positive correlation between the anchor and either exponent lowers the propagated variance and only a positive correlation between the two exponents raises it. The two anchor terms dominate, and a uniform positive correlation therefore lowers the quoted figure rather than raising it. We claim no bound in either direction [39].</w:t>
      </w: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
      </w:r>
    </w:p>
    <w:p>
      <w:pPr>
        <w:spacing w:after="0" w:line="480"/>
        <w:ind w:firstLine="431"/>
        <w:jc w:val="both"/>
      </w:pPr>
      <w:r>
        <w:rPr>
          <w:rFonts w:ascii="Times New Roman" w:cs="Times New Roman" w:eastAsia="Times New Roman" w:hAnsi="Times New Roman"/>
          <w:sz w:val="24"/>
          <w:szCs w:val="24"/>
        </w:rPr>
        <w:t xml:space="preserve">The validated framework is applied to candidate compounds drawn from the 3DSC_MP cross-reference between SuperCon transition-temperature records and Materials Project crystal structures. Dispatch is restricted to the three families that meet the population requirement and carry a validated temperature axis: iron chalcogenide 11-type,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Because the field axis is not validated at family level, no dispatched field-axis output is offered as a validated prediction; each is carried as the labelled limitation stated later in this section.</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 candidate set contains 233 candidate records covering 183 distinct compounds</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t xml:space="preserve">, since the same compound can be reached through more than one source paper; the earlier presentation reported record counts as compound counts, and Table IV now reports both. Of the 183, 84 receive at least one non-refused prediction target from the dispatch routine, and all 84 are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The other two families dispatch nothing. Every one of iron chalcogenide 11-type's 441 candidate-grid targets is refused, 248 for lying below the validated reduced field, 153 for a target temperature above Tc, and 40 because the family carries no validated field axis, which after this revision is true of every family; all 711 of iron pnictide 122-type's are refused, 378 for a missing upper-critical-field anchor, 294 for reduced field, and 39 for temperature. The calibration screen described below removes none of the 84, because the two candidates it acts on are iron chalcogenide and are no longer dispatched.</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Table IV gives the dispatch counts, which are the counts that reconcile with the deposited prediction file. A supplementary pass attempted to widen critical-field coverage by matching the candidate set against the Roberts compilation of evaluated superconductor properties </w:t>
      </w:r>
      <w:r>
        <w:rPr>
          <w:rFonts w:ascii="Times New Roman" w:cs="Times New Roman" w:eastAsia="Times New Roman" w:hAnsi="Times New Roman"/>
          <w:sz w:val="24"/>
          <w:szCs w:val="24"/>
        </w:rPr>
        <w:t xml:space="preserve">[40]</w:t>
      </w:r>
      <w:r>
        <w:rPr>
          <w:rFonts w:ascii="Times New Roman" w:cs="Times New Roman" w:eastAsia="Times New Roman" w:hAnsi="Times New Roman"/>
          <w:sz w:val="24"/>
          <w:szCs w:val="24"/>
        </w:rPr>
        <w:t>; it returned no match for any of the 233 candidate records, which is itself a statement about how sparsely this quantity is tabulated for substituted and cation-variant compounds.</w:t>
      </w:r>
    </w:p>
    <w:p>
      <w:pPr>
        <w:spacing w:after="140" w:before="360" w:line="240"/>
        <w:jc w:val="both"/>
      </w:pPr>
      <w:r>
        <w:rPr>
          <w:rFonts w:ascii="Times New Roman" w:cs="Times New Roman" w:eastAsia="Times New Roman" w:hAnsi="Times New Roman"/>
          <w:b/>
          <w:bCs/>
          <w:sz w:val="20"/>
          <w:szCs w:val="20"/>
        </w:rPr>
        <w:t xml:space="preserve">TABLE IV.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w:t>
      </w:r>
      <w:r>
        <w:rPr>
          <w:rFonts w:ascii="Times New Roman" w:cs="Times New Roman" w:eastAsia="Times New Roman" w:hAnsi="Times New Roman"/>
          <w:sz w:val="20"/>
          <w:szCs w:val="20"/>
        </w:rPr>
        <w:t xml:space="preserve"> coverage and dispatch scope for the candidate cohort. The second column gives, in order, candidate records, distinct compounds, and compounds receiving at least one dispatched prediction target; records exceed compounds because the same compound can be reached through more than one source paper. The third figure in that column is the dispatch-routine count and reconciles with the deposited prediction file, which emits at least one prediction for 84 compounds. The 122-type cation variants are the main limit on full field-axis prediction.</w:t>
      </w:r>
    </w:p>
    <w:tbl>
      <w:tblPr>
        <w:tblW w:type="dxa" w:w="9360"/>
        <w:tblBorders>
          <w:top w:val="double" w:sz="6"/>
          <w:left w:val="none" w:sz="0"/>
          <w:bottom w:val="double" w:sz="6"/>
          <w:right w:val="none" w:sz="0"/>
          <w:insideH w:val="none" w:sz="0"/>
          <w:insideV w:val="none" w:sz="0"/>
        </w:tblBorders>
      </w:tblPr>
      <w:tblGrid>
        <w:gridCol w:w="1750"/>
        <w:gridCol w:w="1750"/>
        <w:gridCol w:w="1500"/>
        <w:gridCol w:w="2360"/>
        <w:gridCol w:w="200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Substructure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Records / compounds / dispatched</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Validating axis</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Main anchor provenance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Coverage gap</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chalcogenide 11-type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49 / 29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Seven paper-reported anchors and 24 reference-table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 at current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pnictide 122-type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79 / 51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Six paper-reported anchors and three BaFe</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As</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Cation variants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-class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105 / 103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 reported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 paper-reported anchor and 84 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Exotic diborides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233 / 183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 for two families, none for MgB2-class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provenance tiers 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60 compounds receive field-axis refusal</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The 60 compounds without upper-critical-field anchors trigger field-axis refusals, because the model cannot evaluate field dependence without a validated field scale. These refusals do not remove the compounds from the workflow: when the remaining gates pass, the same candidates still receive temperature-axis-only outputs. The refusal mechanism acts on each prediction target, not only on each compound, so a compound may be valid for one prediction task and refused for another. As a further consistency check we screen candidate predictions against the substructure calibration range, which removes six predictions across two iron-chalcogenide candidates: FeTe and the FeTe-rich variant Fe(Se</w:t>
      </w:r>
      <w:r>
        <w:rPr>
          <w:rFonts w:ascii="Times New Roman" w:cs="Times New Roman" w:eastAsia="Times New Roman" w:hAnsi="Times New Roman"/>
          <w:i w:val="false"/>
          <w:iCs w:val="false"/>
          <w:sz w:val="24"/>
          <w:szCs w:val="24"/>
          <w:vertAlign w:val="subscript"/>
        </w:rPr>
        <w:t xml:space="preserve">0.05</w:t>
      </w:r>
      <w:r>
        <w:rPr>
          <w:rFonts w:ascii="Times New Roman" w:cs="Times New Roman" w:eastAsia="Times New Roman" w:hAnsi="Times New Roman"/>
          <w:sz w:val="24"/>
          <w:szCs w:val="24"/>
        </w:rPr>
        <w:t xml:space="preserve">Te</w:t>
      </w:r>
      <w:r>
        <w:rPr>
          <w:rFonts w:ascii="Times New Roman" w:cs="Times New Roman" w:eastAsia="Times New Roman" w:hAnsi="Times New Roman"/>
          <w:i w:val="false"/>
          <w:iCs w:val="false"/>
          <w:sz w:val="24"/>
          <w:szCs w:val="24"/>
          <w:vertAlign w:val="subscript"/>
        </w:rPr>
        <w:t xml:space="preserve">0.95</w:t>
      </w:r>
      <w:r>
        <w:rPr>
          <w:rFonts w:ascii="Times New Roman" w:cs="Times New Roman" w:eastAsia="Times New Roman" w:hAnsi="Times New Roman"/>
          <w:sz w:val="24"/>
          <w:szCs w:val="24"/>
        </w:rPr>
        <w:t xml:space="preserve">), whose transition-temperature anchors of 1.5 and 3.4 K fall far below the 10 to 14 K anchors of the family's calibration cohort. At their compound-specific 0.77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grid points, 1.16 and 2.58 K, the substructure-aggregate exponent extrapolates to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about 9.5, which is 3.5 dex above the family mean at that grid point and more than five standard deviations from it, a current density of order 10</w:t>
      </w:r>
      <w:r>
        <w:rPr>
          <w:rFonts w:ascii="Times New Roman" w:cs="Times New Roman" w:eastAsia="Times New Roman" w:hAnsi="Times New Roman"/>
          <w:i w:val="false"/>
          <w:iCs w:val="false"/>
          <w:sz w:val="24"/>
          <w:szCs w:val="24"/>
          <w:vertAlign w:val="superscript"/>
        </w:rPr>
        <w:t xml:space="preserve">9</w:t>
      </w:r>
      <w:r>
        <w:rPr>
          <w:rFonts w:ascii="Times New Roman" w:cs="Times New Roman" w:eastAsia="Times New Roman" w:hAnsi="Times New Roman"/>
          <w:sz w:val="24"/>
          <w:szCs w:val="24"/>
        </w:rPr>
        <w:t xml:space="preserve"> A cm</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that no measurement supports. These six predictions are excluded from every total reported in this paper. They fall on two iron chalcogenide candidates, and that family no longer dispatches at all, so the exclusion removes none of the 84 compounds that carry a prediction we are willing to report. A second, coarser screen acts one level up, at the record rather than the prediction: 21 of the 233 candidate records carry a transition-temperature anchor below 4.2 K, the lowest absolute temperature on the evaluation grid, and are refused because no grid point can be evaluated for them; Supplemental Material Sec. 10 gives that accounting. We note one bookkeeping consequence for readers of the deposit: both screens are applied at the reporting layer, so the deposited prediction file carries these rows with an empty refusal code, and the deposited within-substructure outlier audit identifies the six explicitly.</w:t>
      </w:r>
    </w:p>
    <w:p>
      <w:pPr>
        <w:spacing w:after="0" w:line="480"/>
        <w:ind w:firstLine="431"/>
        <w:jc w:val="both"/>
      </w:pPr>
      <w:r>
        <w:rPr>
          <w:rFonts w:ascii="Times New Roman" w:cs="Times New Roman" w:eastAsia="Times New Roman" w:hAnsi="Times New Roman"/>
          <w:sz w:val="24"/>
          <w:szCs w:val="24"/>
        </w:rPr>
        <w:t xml:space="preserve">The prediction rule for each substructure follows from the variance-decomposition diagnostic, and only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rule is exercised by the current dispatch.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sample form explains little variance, so the model uses the substructure-aggregate predictor throughout; every dispatched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candidate inherits an upper-critical-field anchor of 15.5 T carrying a 20–50% deviation flag. The other two rules are stated because the diagnostic determines them and they would govern any dispatch that passed the gates. For iron chalcogenide 11-type, sample-form conditioning is informative but not decisive at a ratio of 0.37 on the deposited anchors, so the dispatch would use the source-paper sample form where the cell is populated and fall back to the single-crystal cell, the largest and best calibrated cell in the available literature, otherwise. For iron pnictide 122-type, conditioning is informative but less decisive, so the predictor would use the source-paper sample form when available and fall back to the single-crystal cell otherwise.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i/>
          <w:iCs/>
          <w:sz w:val="24"/>
          <w:szCs w:val="24"/>
        </w:rPr>
        <w:t xml:space="preserve">The dispatch lies below the validated field window.</w:t>
      </w:r>
      <w:r>
        <w:rPr>
          <w:rFonts w:ascii="Times New Roman" w:cs="Times New Roman" w:eastAsia="Times New Roman" w:hAnsi="Times New Roman"/>
          <w:sz w:val="24"/>
          <w:szCs w:val="24"/>
        </w:rPr>
        <w:t xml:space="preserve"> Before quoting any dispatched value we record a limitation that follows from the applicability criterion of Eq. (1). That criterion admits a curve to the field axis only when its measured field span exceeds 0.3 of the upper critical field, a condition on the width of the fitted interval rather than on where any single point sits, whereas the dispatch grid evaluates at 0.1, 1 and 5 T against anchors of 15.5 to 60 T, so most grid targets fall far below a reduced field of 0.3. Those are refused rather than reported: every emitted target sits at a reduced field of 0.3226 against the 15.5 T MgB2 parent anchor. This is the reason we report the family comparison at the lowest evaluated field, where that term contributes least, and the reason the field-axis result is carried as a labelled limitation rather than as a validated prediction.</w:t>
      </w:r>
    </w:p>
    <w:p>
      <w:pPr>
        <w:spacing w:after="0" w:line="480"/>
        <w:ind w:firstLine="431"/>
        <w:jc w:val="both"/>
      </w:pPr>
      <w:r>
        <w:rPr>
          <w:rFonts w:ascii="Times New Roman" w:cs="Times New Roman" w:eastAsia="Times New Roman" w:hAnsi="Times New Roman"/>
          <w:i/>
          <w:iCs/>
          <w:sz w:val="24"/>
          <w:szCs w:val="24"/>
        </w:rPr>
        <w:t xml:space="preserve">Uncertainty.</w:t>
      </w:r>
      <w:r>
        <w:rPr>
          <w:rFonts w:ascii="Times New Roman" w:cs="Times New Roman" w:eastAsia="Times New Roman" w:hAnsi="Times New Roman"/>
          <w:sz w:val="24"/>
          <w:szCs w:val="24"/>
        </w:rPr>
        <w:t xml:space="preserve"> The median full width of the 95% bootstrap confidence interval </w:t>
      </w:r>
      <w:r>
        <w:rPr>
          <w:rFonts w:ascii="Times New Roman" w:cs="Times New Roman" w:eastAsia="Times New Roman" w:hAnsi="Times New Roman"/>
          <w:sz w:val="24"/>
          <w:szCs w:val="24"/>
        </w:rPr>
        <w:t xml:space="preserve">[41]</w:t>
      </w:r>
      <w:r>
        <w:rPr>
          <w:rFonts w:ascii="Times New Roman" w:cs="Times New Roman" w:eastAsia="Times New Roman" w:hAnsi="Times New Roman"/>
          <w:sz w:val="24"/>
          <w:szCs w:val="24"/>
        </w:rPr>
        <w:t xml:space="preserve"> across non-refused predictions is 0.61 dex in log10 Jc, a factor of about 4.1 in Jc</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Under an approximately Gaussian interpretation this corresponds to a pointwise one-sigma uncertainty of about 0.16 dex. The substructure-aggregate quadrature gives 0.27 dex at one sigma within the iron pnictide 122-type scope, computed from residual standard deviations of 0.265 in log10 Jc,partial, 0.563 in βT, and 0.920 in βH, and it is flat to within 0.005 dex across the evaluated field grid. A previous version gave 0.29 dex from a βT scatter of 1.158, which is not reproducible from the deposit: that family's 106 temperature-axis fits give 1.171 on the exponent as deposited and 0.563 on the repaired exponent, and every one of them was repaired. The repaired exponent is the one the 257-fit cohort and the rest of this paper use, so it is the one propagated here. This scope emits no prediction under the refusal gates of this revision. On the MgB2 class, the only family that does emit, the same propagation gives 0.49 dex at 4.2 K and 0.57 dex at 20 K, and those are the figures that attach to the dispatched predictions.</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Both remain below the 1 dex screening-grade threshold, but they mean different things: the bootstrap interval captures local prediction uncertainty at specific evaluated grid points, while the quadrature accounts for all structural error sources, namely residual standard deviations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across the full substructure scope. We quote two significant figures for every uncertainty presented as a headline result, since the third digit is not supported by a cohort of this size. Component quantities are retained to three figures where they are inputs to a calculation the reader may wish to repeat, as with the residual standard deviations above, and fitted exponents and validation errors are retained to three figures where they are compared across families, as in the applicability table, where rounding would collapse the distinction the table turns on.</w:t>
      </w:r>
    </w:p>
    <w:p>
      <w:pPr>
        <w:spacing w:after="0" w:line="480"/>
        <w:ind w:firstLine="431"/>
        <w:jc w:val="both"/>
      </w:pPr>
      <w:r>
        <w:rPr>
          <w:rFonts w:ascii="Times New Roman" w:cs="Times New Roman" w:eastAsia="Times New Roman" w:hAnsi="Times New Roman"/>
          <w:i/>
          <w:iCs/>
          <w:sz w:val="24"/>
          <w:szCs w:val="24"/>
        </w:rPr>
        <w:t>Family-level screening outcome. Only the MgB2 class dispatches under the refusal gates of this revision, so there is one family median to report: 4.98 in log10 Jc with Jc in A cm−2, at 4.2 K and 5 T, over the 86 records covering 84 compounds. The evaluation grid carries three fields, 0.1, 1 and 5 T, and every target at 0.1 and 1 T is refused for lying below the validated reduced field, so no median can be quoted at either. The grid also carried a temperature point at 0.77 Tc for every candidate, ten percent past the reduced-temperature bound and beyond the reach of any deposited fit, whose largest measured coverage is 0.6944. Those 93 targets are refused as well. An earlier version of this section reported medians of 6.00, 5.75 and 5.32 at 0.1 T across the three families, and a top-quartile slice that was entirely iron chalcogenide 11-type. Both rest on predictions this revision's reduced-field gate refuses, and both are withdrawn rather than restated. The surviving grid point sits at the edge of the applicability window: every dispatched candidate carries an upper-critical-field anchor of 15.5 T, so 5 T is a reduced field of 0.3226. We note what that number is and is not. Eq. (1) admits a curve to the field-axis fit on the width of its measured interval, (Hmax - Hmin)/Hc2,0 &gt; 0.3, which is a property of a fitted curve and not of a single evaluation point, so 0.3226 is not a margin against that criterion. What it is comparable to is the reduced-field range the admitted fits actually cover, and the dispatch gate of Sec. II.D refuses any target below 0.3 on that reading. The parent anchor carries a 20 to 50 percent deviation flag, and a 20 percent upward revision of it would put every emitted target below the gate.</w:t>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per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Plotted across the full reduced-field range over which the exponent is validated, the family envelopes are not parallel and the ordering does not persist. Iron chalcogenide 11-type and iron pnictide 122-type cross at a reduced field of 0.58, above which the 122-type envelope is the higher of the two, by 0.69 dex at a reduced field of 0.9 (Fig. 5). Those envelopes are what the fitted exponents support for their families. They are not dispatched predictions, and with the chalcogenide and 122 dispatches closed there is no screening comparison between families left to state. We therefore claim nothing finer than a family-level statement, and at present the dispatch supports one: the MgB2 class, at 4.2 K and 5 T.</w:t>
      </w:r>
    </w:p>
    <w:p>
      <w:pPr>
        <w:spacing w:after="0" w:line="480"/>
        <w:ind w:firstLine="431"/>
        <w:jc w:val="both"/>
      </w:pPr>
      <w:r>
        <w:rPr>
          <w:rFonts w:ascii="Times New Roman" w:cs="Times New Roman" w:eastAsia="Times New Roman" w:hAnsi="Times New Roman"/>
          <w:sz w:val="24"/>
          <w:szCs w:val="24"/>
        </w:rPr>
        <w:t xml:space="preserve">We note for the reader comparing against experiment that 1 T is close to self-field for these materials: at 1 T against a 50 T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is 0.02, and the field-dependence term of Eq. (2) has barely engaged. Reported field dependences that look implausibly weak on this scale are an arithmetic consequence of the reduced-field range covered, not a physical claim about weak pinning </w:t>
      </w:r>
      <w:r>
        <w:rPr>
          <w:rFonts w:ascii="Times New Roman" w:cs="Times New Roman" w:eastAsia="Times New Roman" w:hAnsi="Times New Roman"/>
          <w:sz w:val="24"/>
          <w:szCs w:val="24"/>
        </w:rPr>
        <w:t xml:space="preserve">[42]</w:t>
      </w:r>
      <w:r>
        <w:rPr>
          <w:rFonts w:ascii="Times New Roman" w:cs="Times New Roman" w:eastAsia="Times New Roman" w:hAnsi="Times New Roman"/>
          <w:sz w:val="24"/>
          <w:szCs w:val="24"/>
        </w:rPr>
        <w:t xml:space="preserve">. Figure 5 is therefore plotted over the reduced-field window within which the fits are validated, rather than over the raw field range of the underlying measurements.</w:t>
      </w:r>
    </w:p>
    <w:p>
      <w:pPr>
        <w:spacing w:after="0" w:line="480"/>
        <w:ind w:firstLine="431"/>
        <w:jc w:val="both"/>
      </w:pPr>
      <w:r>
        <w:rPr>
          <w:rFonts w:ascii="Times New Roman" w:cs="Times New Roman" w:eastAsia="Times New Roman" w:hAnsi="Times New Roman"/>
          <w:i/>
          <w:iCs/>
          <w:sz w:val="24"/>
          <w:szCs w:val="24"/>
        </w:rPr>
        <w:t xml:space="preserve">Why per-compound rankings are withheld.</w:t>
      </w:r>
      <w:r>
        <w:rPr>
          <w:rFonts w:ascii="Times New Roman" w:cs="Times New Roman" w:eastAsia="Times New Roman" w:hAnsi="Times New Roman"/>
          <w:sz w:val="24"/>
          <w:szCs w:val="24"/>
        </w:rPr>
        <w:t xml:space="preserve"> No candidate triggers the non-monotonic temperature-dependence gate.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p>
    <w:p>
      <w:pPr>
        <w:spacing w:after="0" w:line="480"/>
        <w:ind w:firstLine="431"/>
        <w:jc w:val="both"/>
      </w:pPr>
      <w:r>
        <w:rPr>
          <w:rFonts w:ascii="Times New Roman" w:cs="Times New Roman" w:eastAsia="Times New Roman" w:hAnsi="Times New Roman"/>
          <w:sz w:val="24"/>
          <w:szCs w:val="24"/>
        </w:rPr>
        <w:t xml:space="preserve">We do not emit per-compound rankings within a family, and the reason is structural rather than statistical. The dispatch emits at two grid points. At 4.2 K and 5 T the 86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prediction records covering 84 distinct compounds span 0.0098 dex, which is 1.6% of the 0.60 dex bootstrap interval at the same point; at 20 K and 5 T the 77 records covering 75 compounds span 0.259 dex. Both points clear the gates of this revision, at reduced temperatures of 0.48 to 0.70 and a reduced field of 0.3226. An earlier version of this section called 4.2 K and 5 T the only grid point at which anything is dispatched, which is wrong. The family emits one value for every purpose the paper claims at the lower point, and this follows from the inference procedure of Section II.D in a more specific way than we previously stated. The substructure and sample-form conditioning fixes every parameter of Eq. (2); every dispatched record carries the same 15.5 T parent anchor, so the field term is common to all of them; and the model is anchored at a reference point whose temperature is 4.2 K, so at 4.2 K the temperature term is the difference of a quantity from itself and is identically zero for every candidate whatever its transition-temperature anchor. Across 59 distinct anchors from 8.9 to 41.4 K the largest value that term takes is exactly zero. The prediction at that grid point is therefore a single family-level constant, and the residual 0.0098 dex is the bootstrap draw over an 18-fit pool rather than variation between compounds: resampling that pool 84 times independently returns 0.0092 dex with a standard deviation of 0.0016. At 20 K the transition-temperature anchor does enter, and the prediction regresses on the temperature term with a slope of 1.22 and an R squared of 0.996, recovering the family exponent of 1.14.</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Per-compound differentiation within a family is thus carried entirely by the upper-critical-field anchor, the quantity whose provenance is weakest in this corpus (Sec. III.F). Reporting family-scope envelopes with uncertainty bounds, rather than compound rankings, is not a conservative reading of a marginal signal. It is the only claim the predictor's construction supports, and it would remain so even if the field scale were exact. We state this plainly because the alternative reading, that the framework ranks 183 candidate compounds, is available from a casual reading of a candidate table and is not what the method does.</w:t>
      </w:r>
    </w:p>
    <w:p>
      <w:pPr>
        <w:spacing w:after="120" w:before="240"/>
        <w:jc w:val="center"/>
      </w:pPr>
      <w:r>
        <w:drawing>
          <wp:inline distT="0" distB="0" distL="0" distR="0">
            <wp:extent cx="5715000" cy="27185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1850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5.</w:t>
      </w:r>
      <w:r>
        <w:rPr>
          <w:rFonts w:ascii="Times New Roman" w:cs="Times New Roman" w:eastAsia="Times New Roman" w:hAnsi="Times New Roman"/>
          <w:sz w:val="20"/>
          <w:szCs w:val="20"/>
        </w:rPr>
        <w:t xml:space="preserve"> Family-scope critical-current envelopes for validated candidate substructures, plotted across the range over which the exponents are validated. Each family's exponents are its median fitted exponent on each axis and its median partial critical-current anchor, over the admitted field-axis cohort and the repaired temperature-axis cohort, regenerated by analysis/fit_family_params.py. (a) Predicted temperature dependence of log10 Jc at a fixed reduced field H/Hc2,0 = 0.5, against reduced temperature T/Tc.</w:t>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(b) Predicted field dependence at 4.2 K, against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rather than absolute field, so that families with different critical fields are compared at matched reduced conditions. Curves are solid inside the applicability window of Sec. II.A,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&lt; 0.7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&gt; 0.3, and dashed outside it; the shaded grey region marks the out-of-window portion of each axis. Circles in panel (b) mark the three fields at which the dispatch grid is evaluated, 0.1, 1 and 5 T, placed using each family's most common anchor; filled where the target is dispatched and open where it is refused. Only one is filled. Every other grid point falls in the low-reduced-field corner where the field term of Eq. (2) has barely engaged, and is refused for that reason. Shaded envelopes are drawn at a constant half-width of 0.31 dex around each curve. That is half the median full width of the 95% bootstrap confidence interval quoted as 0.61 dex in the text (5000 iterations) across the non-refused predictions, every one of which is MgB2-class, so one family's uncertainty is drawn around all three and the two envelopes that dispatch nothing carry no uncertainty of their own. Within the dispatched set the per-grid-point half-width is 0.30 dex at 4.2 K and 0.41 dex at 20 K. The cross in panel (b) marks the reduced field of 0.58 at which the iron chalcogenide and iron pnictide envelopes cross, discussed in Sec. III.E. Each curve is shared by every dispatched candidate in its family: within a family the predictor emits one envelope, not one curve per compound. These curves apply only to candidates that pass the refusal gates, which at present is the MgB2 class alone, and panel (b) carries the field-scale qualification of Sec. III.F.</w:t>
      </w:r>
    </w:p>
    <w:p>
      <w:pPr>
        <w:pStyle w:val="Heading2"/>
        <w:spacing w:after="200" w:before="360"/>
        <w:jc w:val="center"/>
      </w:pPr>
      <w:r>
        <w:rPr>
          <w:rFonts w:ascii="Times New Roman" w:cs="Times New Roman" w:eastAsia="Times New Roman" w:hAnsi="Times New Roman"/>
          <w:b/>
          <w:bCs/>
          <w:color w:val="000000"/>
          <w:sz w:val="24"/>
          <w:szCs w:val="24"/>
        </w:rPr>
        <w:t xml:space="preserve">F. Limitations and assumptions</w:t>
      </w:r>
    </w:p>
    <w:p>
      <w:pPr>
        <w:spacing w:after="0" w:line="480"/>
        <w:ind w:firstLine="431"/>
        <w:jc w:val="both"/>
      </w:pPr>
      <w:r>
        <w:rPr>
          <w:rFonts w:ascii="Times New Roman" w:cs="Times New Roman" w:eastAsia="Times New Roman" w:hAnsi="Times New Roman"/>
          <w:sz w:val="24"/>
          <w:szCs w:val="24"/>
        </w:rPr>
        <w:t xml:space="preserve">Four assumptions and one data-layer finding bound the generalizability of the framework. The predictions are screening-level tools, and their proper use depends on understanding where these bounds bite.</w:t>
      </w:r>
    </w:p>
    <w:p>
      <w:pPr>
        <w:spacing w:after="0" w:line="480"/>
        <w:ind w:firstLine="431"/>
        <w:jc w:val="both"/>
      </w:pPr>
      <w:r>
        <w:rPr>
          <w:rFonts w:ascii="Times New Roman" w:cs="Times New Roman" w:eastAsia="Times New Roman" w:hAnsi="Times New Roman"/>
          <w:i/>
          <w:iCs/>
          <w:sz w:val="24"/>
          <w:szCs w:val="24"/>
        </w:rPr>
        <w:t xml:space="preserve">Assumption 1: the per-axis power-law form, with a temperature-independent field scale.</w:t>
      </w:r>
      <w:r>
        <w:rPr>
          <w:rFonts w:ascii="Times New Roman" w:cs="Times New Roman" w:eastAsia="Times New Roman" w:hAnsi="Times New Roman"/>
          <w:sz w:val="24"/>
          <w:szCs w:val="24"/>
        </w:rPr>
        <w:t xml:space="preserve"> Critical current density is assumed decomposable into the per-axis Form 3 expression of Eq. (2) within an applicability window of reduced temperature below 0.7 and reduced field above 0.3 of the upper critical field. That window is bounded from above in temperature and from below in field, and we should state plainly what it does not do. It sets no lower bound in temperature, so it does not exclude the low-temperature regime in which the measured dependence becomes exponential or stretched exponential; and the dispatch of Sec. III.E reports at 4.2 and 20 K. Both halves of the window are now enforced on the dispatch itself, per evaluation point: a target is refused below a reduced field of 0.3 and at or above a reduced temperature of 0.7. We distinguish that per-point enforcement from Eq. (1) itself, which admits a curve to the fit on the width of its measured interval rather than on where any single point sits, and we apply the stricter of the two readings to what we emit, rather than leaving the window to imply a scope we do not enforce. This form was selected by holdout comparison against two alternatives on the fully fittable cohort; it is not derived from a microscopic theory of vortex pinning. Its field term uses a temperature-independent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whereas the upper critical field is strongly temperature-dependent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Separation of the temperature and field terms is therefore not guaranteed, and we can quantify the cost. Where a paper's critical scale was held fixed across measurement temperatures, the fitted field exponent drifts systematically with temperature. Across the series in which one scale was held over three or more measurement temperatures, the median absolute rank correlation between exponent and temperature is 0.80, over 13 series, and 0.80 again over the 6 sampled at four or more temperatures. On the cohort as first deposited these were 0.70 over 18 and 0.80 over 9; the withdrawals reduce the count and leave the effect slightly larger. The worked example given here previously, </w:t>
      </w:r>
      <w:r>
        <w:rPr>
          <w:rFonts w:ascii="Times New Roman" w:cs="Times New Roman" w:eastAsia="Times New Roman" w:hAnsi="Times New Roman"/>
          <w:sz w:val="24"/>
          <w:szCs w:val="24"/>
        </w:rPr>
        <w:t>SmFeAsO</w:t>
      </w:r>
      <w:r>
        <w:rPr>
          <w:rFonts w:ascii="Times New Roman" w:cs="Times New Roman" w:eastAsia="Times New Roman" w:hAnsi="Times New Roman"/>
          <w:sz w:val="24"/>
          <w:szCs w:val="24"/>
          <w:vertAlign w:val="subscript"/>
        </w:rPr>
        <w:t>0.8</w:t>
      </w:r>
      <w:r>
        <w:rPr>
          <w:rFonts w:ascii="Times New Roman" w:cs="Times New Roman" w:eastAsia="Times New Roman" w:hAnsi="Times New Roman"/>
          <w:sz w:val="24"/>
          <w:szCs w:val="24"/>
        </w:rPr>
        <w:t>F</w:t>
      </w:r>
      <w:r>
        <w:rPr>
          <w:rFonts w:ascii="Times New Roman" w:cs="Times New Roman" w:eastAsia="Times New Roman" w:hAnsi="Times New Roman"/>
          <w:sz w:val="24"/>
          <w:szCs w:val="24"/>
          <w:vertAlign w:val="subscript"/>
        </w:rPr>
        <w:t>0.2</w:t>
      </w:r>
      <w:r>
        <w:rPr>
          <w:rFonts w:ascii="Times New Roman" w:cs="Times New Roman" w:eastAsia="Times New Roman" w:hAnsi="Times New Roman"/>
          <w:sz w:val="24"/>
          <w:szCs w:val="24"/>
        </w:rPr>
        <w:t xml:space="preserve"> with a scale held at 86 T, is withdrawn: its printed field axis is kilo-oersted recorded as tesla, so corrected its fits fail the applicability bound, and independently its exponent is not monotone across the window we quoted, falling from 1.25 at 2 K to 0.82 at 10 K before rising to 12.14 at 35 K. The clearest surviving case is the </w:t>
      </w:r>
      <w:r>
        <w:rPr>
          <w:rFonts w:ascii="Times New Roman" w:cs="Times New Roman" w:eastAsia="Times New Roman" w:hAnsi="Times New Roman"/>
          <w:sz w:val="24"/>
          <w:szCs w:val="24"/>
        </w:rPr>
        <w:t>Ba(Fe,Co)</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As</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single crystal of Ref. [40] with a scale held at 4.5 T, whose exponent rises from 0.26 to 0.86 across nine measurement temperatures from 4.2 to 18 K; our audit grades that record weak, sitting 1.3 to 1.7 times above a retrace of its own figure, and we offer it as the best surviving illustration rather than a clean 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Over that range the exponent is measuring the misspecification rather than the pinning physics. Two further departures should be stated. At low reduced temperature the measured temperature dependence of many superconductors is exponential or stretched exponential rather than a power law, because thermal activation of vortices contributes a term the power form cannot represent; and the dominant pinning regime itself changes with field and temperature, so a single exponent per axis describes an average over regimes rather than one mechanism. Equation (2) should therefore be read as an empirical parameterization over a restricted interval, which is what the applicability window of Eq. (1) enforces, and not as a description valid to arbitrarily low temperature. Predictions outside that window, and predictions for compounds whose pinning physics departs from a single-mechanism description, are not supported by the present validation.</w:t>
      </w:r>
    </w:p>
    <w:p>
      <w:pPr>
        <w:spacing w:after="0" w:line="480"/>
        <w:ind w:firstLine="431"/>
        <w:jc w:val="both"/>
      </w:pPr>
      <w:r>
        <w:rPr>
          <w:rFonts w:ascii="Times New Roman" w:cs="Times New Roman" w:eastAsia="Times New Roman" w:hAnsi="Times New Roman"/>
          <w:i/>
          <w:iCs/>
          <w:sz w:val="24"/>
          <w:szCs w:val="24"/>
        </w:rPr>
        <w:t xml:space="preserve">Assumption 2: one dominant mechanism class per family.</w:t>
      </w:r>
      <w:r>
        <w:rPr>
          <w:rFonts w:ascii="Times New Roman" w:cs="Times New Roman" w:eastAsia="Times New Roman" w:hAnsi="Times New Roman"/>
          <w:sz w:val="24"/>
          <w:szCs w:val="24"/>
        </w:rPr>
        <w:t xml:space="preserve"> Each substructure family is assumed to carry a single dominant superconducting mechanism class. This holds well for the three dispatch families, where the literature consensus on the dominant pairing mechanism is settled </w:t>
      </w:r>
      <w:r>
        <w:rPr>
          <w:rFonts w:ascii="Times New Roman" w:cs="Times New Roman" w:eastAsia="Times New Roman" w:hAnsi="Times New Roman"/>
          <w:sz w:val="24"/>
          <w:szCs w:val="24"/>
        </w:rPr>
        <w:t xml:space="preserve">[43, 44]</w:t>
      </w:r>
      <w:r>
        <w:rPr>
          <w:rFonts w:ascii="Times New Roman" w:cs="Times New Roman" w:eastAsia="Times New Roman" w:hAnsi="Times New Roman"/>
          <w:sz w:val="24"/>
          <w:szCs w:val="24"/>
        </w:rPr>
        <w:t xml:space="preserve">. It fails for compounds whose mechanism is contested or whose stoichiometry crosses substructure boundaries; such compounds are excluded by the substructure classifier (Supplemental Material Sec. 3). Any extension to additional families requires verifying that this assumption still applies.</w:t>
      </w:r>
    </w:p>
    <w:p>
      <w:pPr>
        <w:spacing w:after="0" w:line="480"/>
        <w:ind w:firstLine="431"/>
        <w:jc w:val="both"/>
      </w:pPr>
      <w:r>
        <w:rPr>
          <w:rFonts w:ascii="Times New Roman" w:cs="Times New Roman" w:eastAsia="Times New Roman" w:hAnsi="Times New Roman"/>
          <w:i/>
          <w:iCs/>
          <w:sz w:val="24"/>
          <w:szCs w:val="24"/>
        </w:rPr>
        <w:t xml:space="preserve">Assumption 3: the upper-critical-field layer, and what the corpus can supply.</w:t>
      </w:r>
      <w:r>
        <w:rPr>
          <w:rFonts w:ascii="Times New Roman" w:cs="Times New Roman" w:eastAsia="Times New Roman" w:hAnsi="Times New Roman"/>
          <w:sz w:val="24"/>
          <w:szCs w:val="24"/>
        </w:rPr>
        <w:t xml:space="preserve"> This is the sharpest limitation and we state it in full, because it bounds every field-axis result above.</w:t>
      </w:r>
    </w:p>
    <w:p>
      <w:pPr>
        <w:spacing w:after="0" w:line="480"/>
        <w:ind w:firstLine="431"/>
        <w:jc w:val="both"/>
      </w:pPr>
      <w:r>
        <w:rPr>
          <w:rFonts w:ascii="Times New Roman" w:cs="Times New Roman" w:eastAsia="Times New Roman" w:hAnsi="Times New Roman"/>
          <w:sz w:val="24"/>
          <w:szCs w:val="24"/>
        </w:rPr>
        <w:t xml:space="preserve">The upper critical field is the field-axis critical scale in Eq. (2), and unlike the transition temperature it is frequently not reported in the same paper as the critical-current curve. A retrospective dual-model audit of the field-axis cohort found that for eight of sixteen audited papers, both models independently reported that the paper contains no critical-field-versus-temperature figure, while the pipeline held extracted critical-field values for all eight. The pipeline's own provenance notes name, in each case, a figure plotting something else: a critical-current-versus-field curve, a magnetization loop, a pinning-force curve, or a relaxation-rate curve. On such a figure a critical field can appear only as a curve endpoint, which is bounded above by the maximum field the experimenters applied. Across the field-axis cohort the assigned scale barely exceeds the largest field actually measured on the curve it anchors: the median ratio of measured maximum to assigned scale is 0.88, and for 11 of the 52 curves admitted by the stated fitting protocol it exceeds 0.9, against 0.80 and 15 of 94 on the cohort as published, so the exposure rises rather than falls. A scale read from a curve endpoint behaves this way by construction, whereas an independently measured upper critical field would not. Fifty-six of the 77 field-axis curves in the three dispatched families, 73%, take their critical scale from one of those eight papers. Two further defects compound this: the resolution routine returns the nearest series endpoint outside the measured range rather than extrapolating, which underestimates the scale by a median factor of 6.7 across the 38 fits it affects, given that critical fields are measured near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while critical currents are measured near 4 K; and 30 of the 77 assigned scales are either an irreversibility field or unlabeled rather than a confirmed upper critical field. Applying the paper's own applicability criterion against the literature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instead of the resolved value, 28 of 77 curves qualify where the pipeline admitted 77.</w:t>
      </w:r>
    </w:p>
    <w:p>
      <w:pPr>
        <w:spacing w:after="0" w:line="480"/>
        <w:ind w:firstLine="431"/>
        <w:jc w:val="both"/>
      </w:pPr>
      <w:r>
        <w:rPr>
          <w:rFonts w:ascii="Times New Roman" w:cs="Times New Roman" w:eastAsia="Times New Roman" w:hAnsi="Times New Roman"/>
          <w:sz w:val="24"/>
          <w:szCs w:val="24"/>
        </w:rPr>
        <w:t>We attempted a rebuild of the field-axis exponent against a properly temperature-resolved critical scale and could not complete it, and the reason is a property of the literature rather than of our pipeline. A caption-scoped screen over the retrieval archive, which holds 2594 papers and is the pool from which the 934-article screened corpus was drawn, finds 137 whose figure captions name both a critical field against temperature and a critical current against field, of which 117 are relevant to the three dispatched families. Caption presence is necessary but not sufficient: whether a paper is usable depends on the measured field span, which can only be settled by reading the numbers. Twenty-nine of the candidates, prioritized by family need, were read independently by two vision models and assessed against the paper's own span criterion. Of those 29, four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papers pass the span criterion, two iron chalcogenide papers pass with one of them borderline, and no iron pnictide 122-type paper passes; the 122-type candidates fail because the paper reports no critical field of its own, not because the span is narrow. Only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clears the three-paper threshold set before the search, and it is the one dispatched family whose field-axis validation was already the least strained. The family that needed the evidence most, iron pnictide 122-type, yielded nothing. We state the scope of this exercise plainly: it establishes that the readily reachable literature does not supply the needed pairing, not that the remaining candidates contain none, and the deposited screen lists every one of them so the search can be continued rather than repeated.</w:t>
      </w:r>
    </w:p>
    <w:p>
      <w:pPr>
        <w:spacing w:after="0" w:line="480"/>
        <w:ind w:firstLine="431"/>
        <w:jc w:val="both"/>
      </w:pPr>
      <w:r>
        <w:rPr>
          <w:rFonts w:ascii="Times New Roman" w:cs="Times New Roman" w:eastAsia="Times New Roman" w:hAnsi="Times New Roman"/>
          <w:sz w:val="24"/>
          <w:szCs w:val="24"/>
        </w:rPr>
        <w:t xml:space="preserve">We also tested whether a group's critical-current paper could be paired with the same group's separate critical-field paper on the same material. Requiring a shared compound and at least two shared author surnames yields zero valid pairs across the corpus. The single author-overlap case links two papers on the same material class but on entirely different specimens. This is itself a finding about the literature, and it is the same finding the paper's thesis predicts: the structure of this literature does not generally support cross-paper record linkage for a process-sensitive property, which is precisely why context-preserving extraction has to operate per paper.</w:t>
      </w:r>
    </w:p>
    <w:p>
      <w:pPr>
        <w:spacing w:after="0" w:line="480"/>
        <w:ind w:firstLine="431"/>
        <w:jc w:val="both"/>
      </w:pPr>
      <w:r>
        <w:rPr>
          <w:rFonts w:ascii="Times New Roman" w:cs="Times New Roman" w:eastAsia="Times New Roman" w:hAnsi="Times New Roman"/>
          <w:sz w:val="24"/>
          <w:szCs w:val="24"/>
        </w:rPr>
        <w:t xml:space="preserve">The consequence for this manuscript is bounded and specific. Field-axis results are reported with their critical-scale implementation labeled, they are not the basis of the universal-scaling result (Sec. III.D) or of the conditioning diagnostic (Sec. III.A), and they do not affect the family-level screening outcome at the evaluated grid (Sec. III.E), which we verified survives removal of the field term. The envelope crossing reported in Sec. III.E is by contrast a property of the fitted field exponents and the critical-field anchors, the two quantities this section qualifies, and it therefore carries that qualification in full: we report it to bound the screening claim, not as a prediction that iron pnictide 122-type overtakes iron chalcogenide 11-type in high field. They no longer carry an applicability validation for any family: the field-axis verdicts this manuscript previously reported for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are withdrawn in Section III.C, and Table IV labels the temperature axis alone.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Restoring a fully validated field axis requires source measurements that this corpus does not contain, and we report the enumeration above so that a future effort can size the acquisition problem rather than rediscover it.</w:t>
      </w:r>
    </w:p>
    <w:p>
      <w:pPr>
        <w:spacing w:after="0" w:line="480"/>
        <w:ind w:firstLine="431"/>
        <w:jc w:val="both"/>
      </w:pPr>
      <w:r>
        <w:rPr>
          <w:rFonts w:ascii="Times New Roman" w:cs="Times New Roman" w:eastAsia="Times New Roman" w:hAnsi="Times New Roman"/>
          <w:sz w:val="24"/>
          <w:szCs w:val="24"/>
        </w:rPr>
        <w:t xml:space="preserve">Three further field-axis caveats follow from this layer. The extraction records no current direction relative to the crystal axes, so the fits cannot condition on it even though the critical current of an anisotropic conductor depends on it; this is a limitation of the dataset rather than of the form, and it bounds how finely any prediction from this corpus can be interpreted. Field orientation is recorded as free text for 26 records but not propagated into the fits, while several reference anchors are orientation-resolved; for anisotropic materials such as Fe(Te,Se), where reported values differ by more than a factor of two between orientations, the anchor and the measurement are not guaranteed to describe the same configuration. And for the 84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candidates inheriting the parent value of 15.5 T, the 20–50% deviation flag propagates directly into the field-axis prediction through the (1 −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term.</w:t>
      </w:r>
    </w:p>
    <w:p>
      <w:pPr>
        <w:spacing w:after="0" w:line="480"/>
        <w:ind w:firstLine="431"/>
        <w:jc w:val="both"/>
      </w:pPr>
      <w:r>
        <w:rPr>
          <w:rFonts w:ascii="Times New Roman" w:cs="Times New Roman" w:eastAsia="Times New Roman" w:hAnsi="Times New Roman"/>
          <w:i/>
          <w:iCs/>
          <w:sz w:val="24"/>
          <w:szCs w:val="24"/>
        </w:rPr>
        <w:t xml:space="preserve">Assumption 4: inferential scope is the family, not the compound.</w:t>
      </w:r>
      <w:r>
        <w:rPr>
          <w:rFonts w:ascii="Times New Roman" w:cs="Times New Roman" w:eastAsia="Times New Roman" w:hAnsi="Times New Roman"/>
          <w:sz w:val="24"/>
          <w:szCs w:val="24"/>
        </w:rPr>
        <w:t xml:space="preserve"> As shown in Section III.E, within a family the predictor emits one envelope shared by all member candidates, because the inference procedure of Section II.D introduces no compound-specific information beyond family membership and anchors. The framework therefore cannot distinguish candidates that differ only in composition within the same substructure family, and this is a property of the method rather than a threshold choice. Finer per-compound ranking would require either a substantially larger per-compound dataset or a different methodological approach, most plausibly per-compound microstructural descriptors that are not currently obtainable through literature extraction alone. Readers should not interpret a candidate table as a ranked list.</w:t>
      </w:r>
    </w:p>
    <w:p>
      <w:pPr>
        <w:spacing w:after="0" w:line="480"/>
        <w:ind w:firstLine="431"/>
        <w:jc w:val="both"/>
      </w:pPr>
      <w:r>
        <w:rPr>
          <w:rFonts w:ascii="Times New Roman" w:cs="Times New Roman" w:eastAsia="Times New Roman" w:hAnsi="Times New Roman"/>
          <w:i/>
          <w:iCs/>
          <w:sz w:val="24"/>
          <w:szCs w:val="24"/>
        </w:rPr>
        <w:t xml:space="preserve">Data-layer limitations.</w:t>
      </w:r>
      <w:r>
        <w:rPr>
          <w:rFonts w:ascii="Times New Roman" w:cs="Times New Roman" w:eastAsia="Times New Roman" w:hAnsi="Times New Roman"/>
          <w:sz w:val="24"/>
          <w:szCs w:val="24"/>
        </w:rPr>
        <w:t xml:space="preserve"> The corpus is candidate-driven rather than exhaustive, so coverage is biased toward materials and processing routes most frequently reported in the retrieval venues. Residual digitization and metadata-assignment errors from the vision-language extraction occur at a rate of a few percent; small at cohort level, they can still affect individual fitted exponents, which is why the cross-model agreement gate of Section II.A is part of the method. One archived PDF was found to be a different article from the one its filename indicates, which matters for the data release and has been corrected in the deposit. Finally, the framework has not been validated on the practically deployed conductor materials, YBCO, REBCO, and BSCCO. REBCO in particular does not obey Eq. (2) over the ranges of interest, and the cuprates enter this work two ways: five cuprate papers sit in the fitted cohort, and four out-of-corpus cuprates serve as the external validation set, where they exhibit measurement-window saturation. These materials also carry upper critical fields higher than can be measured directly, so a critical-field anchor for them would itself be an extrapolation rather than a reported quantity, and they show a much stronger dependence on the angle between the applied field and the crystal axes than the families treated here. Extending the framework to them is therefore not a matter of adding data; it requires a functional form appropriate to their pinning behavior and an orientation-resolved treatment that our current extraction does not support.</w:t>
      </w:r>
    </w:p>
    <w:p>
      <w:pPr>
        <w:pStyle w:val="Heading2"/>
        <w:spacing w:after="200" w:before="360"/>
        <w:jc w:val="center"/>
      </w:pPr>
      <w:r>
        <w:rPr>
          <w:rFonts w:ascii="Times New Roman" w:cs="Times New Roman" w:eastAsia="Times New Roman" w:hAnsi="Times New Roman"/>
          <w:b/>
          <w:bCs/>
          <w:color w:val="000000"/>
          <w:sz w:val="24"/>
          <w:szCs w:val="24"/>
        </w:rPr>
        <w:t xml:space="preserve">G. Broader applicability to process-sensitive materials properties</w:t>
      </w:r>
    </w:p>
    <w:p>
      <w:pPr>
        <w:spacing w:after="0" w:line="480"/>
        <w:ind w:firstLine="431"/>
        <w:jc w:val="both"/>
      </w:pPr>
      <w:r>
        <w:rPr>
          <w:rFonts w:ascii="Times New Roman" w:cs="Times New Roman" w:eastAsia="Times New Roman" w:hAnsi="Times New Roman"/>
          <w:sz w:val="24"/>
          <w:szCs w:val="24"/>
        </w:rPr>
        <w:t xml:space="preserve">The principle at work here, knowing which records may be compared before comparing them, is not specific to superconductors. It extends to any property whose measured value reflects how a specimen was made and tested as much as what it is. Critical current density is one such process-sensitive property, depending on composition and crystal structure as well as on mesoscale disorder, sample geometry, and measurement protocol. The same structure appears in rare-earth permanent magnets, where coercivity is set by phase distribution, grain size, grain-boundary chemistry, texture, and domain-wall pinning; a composition-only model merges records corresponding to different magnetic microstructures and processing routes, making the regression target physically ambiguous in the same way unconditioned critical-current regression mixes superconducting chemistry with sample form and field-window effects.</w:t>
      </w:r>
    </w:p>
    <w:p>
      <w:pPr>
        <w:spacing w:after="0" w:line="480"/>
        <w:ind w:firstLine="431"/>
        <w:jc w:val="both"/>
      </w:pPr>
      <w:r>
        <w:rPr>
          <w:rFonts w:ascii="Times New Roman" w:cs="Times New Roman" w:eastAsia="Times New Roman" w:hAnsi="Times New Roman"/>
          <w:sz w:val="24"/>
          <w:szCs w:val="24"/>
        </w:rPr>
        <w:t xml:space="preserve">Battery lifetime prediction has the same scope problem. Lifetime depends on electrode chemistry and cell design as well as cycling protocol, temperature, charge rate, depth of discharge, and aging history, so a lifetime measured under one protocol does not define the same prediction target as one measured under another. The comparison class must be defined before regression. In superconductors this work identifies substructure family and sample form as the required conditioning variables. In magnets the corresponding variables may include grain-boundary chemistry, phase distribution, and heat treatment; in batteries, cycling protocol, thermal history, and cell format. In each case the same variance-decomposition diagnostic can determine which conditioning structure regression requires.</w:t>
      </w:r>
    </w:p>
    <w:p>
      <w:pPr>
        <w:spacing w:after="0" w:line="480"/>
        <w:ind w:firstLine="431"/>
        <w:jc w:val="both"/>
      </w:pPr>
      <w:r>
        <w:rPr>
          <w:rFonts w:ascii="Times New Roman" w:cs="Times New Roman" w:eastAsia="Times New Roman" w:hAnsi="Times New Roman"/>
          <w:sz w:val="24"/>
          <w:szCs w:val="24"/>
        </w:rPr>
        <w:t xml:space="preserve">There is a second transferable lesson, and it concerns the critical scales themselves. A conditioning framework of this kind requires reference quantities against which measurements are normalized, and those reference quantities have provenance too. In this work the transition temperature is reported alongside nearly every critical-current curve, while the upper critical field usually is not, and the difference between the two axes reported throughout Section III is a direct consequence. Any application of this approach should ask, before fitting, whether the normalizing scale is measured on the same specimen as the property being normalized. Where it is not, the resulting exponent describes the mismatch as much as the physics. This is the paper's own principle applied one level down, and applying it is what produced the limitations enumerated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IV. CONCLUSION</w:t>
      </w:r>
    </w:p>
    <w:p>
      <w:pPr>
        <w:spacing w:after="0" w:line="480"/>
        <w:ind w:firstLine="431"/>
        <w:jc w:val="both"/>
      </w:pPr>
      <w:r>
        <w:rPr>
          <w:rFonts w:ascii="Times New Roman" w:cs="Times New Roman" w:eastAsia="Times New Roman" w:hAnsi="Times New Roman"/>
          <w:sz w:val="24"/>
          <w:szCs w:val="24"/>
        </w:rPr>
        <w:t>We presented a framework for predicting superconducting critical current density from heterogeneous literature, built on substructure-family and sample-form conditioning rather than universal cross-compound scaling. A variance-decomposition diagnostic asks, family by family, whether sample-form conditioning is required, and assigns two distinct regimes across the studied families which set the predictor's conditioning rule without being established as a tested distinction, and explicit refusal gates prevent predictions outside the validated scope. Universal reduced-variable scaling reduces the within-bin scatter by only 13.0% on the standard-deviation scale and 24.3% on the variance scale, with the standard-deviation-scale result insensitive to a 35% perturbation of the estimated critical fields and the variance-scale result marginal under that test. Two direct tests point the same way: the reduced coordinates carry no more structure than the same grid rotated to a random angle, and unnormalized temperature and applied field organize the same records better by isolating compounds. Conditioning by substructure reduces the cross-family field-exponent error by at most about two-fold under leave-one-substructure-out validation, and by less on some cohorts. The framework emits family-scope critical-current envelopes with calibrated uncertainty for three substructure families, together with an explicit refusal decision for each of 183 candidate compounds and each prediction target, of which 84 compounds receive at least one dispatched target. The validation behind that scope is graded and we state it as such: three families clear the compound leave-one-out threshold on the temperature axis, no family-level verdict is reported on the field axis, and the one family that dispatches is not assessable on the temperature axis.</w:t>
      </w:r>
    </w:p>
    <w:p>
      <w:pPr>
        <w:spacing w:after="0" w:line="480"/>
        <w:ind w:firstLine="431"/>
        <w:jc w:val="both"/>
      </w:pPr>
      <w:r>
        <w:rPr>
          <w:rFonts w:ascii="Times New Roman" w:cs="Times New Roman" w:eastAsia="Times New Roman" w:hAnsi="Times New Roman"/>
          <w:sz w:val="24"/>
          <w:szCs w:val="24"/>
        </w:rPr>
        <w:t xml:space="preserve">Two results deserve emphasis for what they say about literature-derived modeling generally. First, within a family the emitted envelope is a single curve shared by all member candidates, so the output is a scope decision plus a family envelope rather than a compound ranking; this is a structural property of a conditioned predictor and not a threshold choice, and stating it precisely is what separates a screening tool from an overclaimed one. Second, the reference scales against which measurements are normalized carry provenance of their own, and applying this paper's own comparability principle to the upper-critical-field layer is what produced the bounds reported in Section III.F, including the finding that among the candidates reachable and testable in this corpus, none in the iron pnictide 122-type family reports a critical-field measurement of its own alongside a critical-current curve. The core principle, establishing which measurements can be compared before comparing them, applies to other process-sensitive properties influenced by preparation method, sample geometry, or measurement protocol. The framework shows how AI-driven models can convert variability in published data, usually treated as noise, into identifiable physical signal </w:t>
      </w:r>
      <w:r>
        <w:rPr>
          <w:rFonts w:ascii="Times New Roman" w:cs="Times New Roman" w:eastAsia="Times New Roman" w:hAnsi="Times New Roman"/>
          <w:sz w:val="24"/>
          <w:szCs w:val="24"/>
        </w:rPr>
        <w:t xml:space="preserve">[45]</w:t>
      </w:r>
      <w:r>
        <w:rPr>
          <w:rFonts w:ascii="Times New Roman" w:cs="Times New Roman" w:eastAsia="Times New Roman" w:hAnsi="Times New Roman"/>
          <w:sz w:val="24"/>
          <w:szCs w:val="24"/>
        </w:rPr>
        <w:t xml:space="preserve">, provided the conditioning variables are determined by direct empirical testing and the normalizing scales are held to the same standard.</w:t>
      </w:r>
    </w:p>
    <w:p>
      <w:pPr>
        <w:pStyle w:val="Heading1"/>
        <w:spacing w:after="240" w:before="480"/>
        <w:jc w:val="center"/>
      </w:pPr>
      <w:r>
        <w:rPr>
          <w:rFonts w:ascii="Times New Roman" w:cs="Times New Roman" w:eastAsia="Times New Roman" w:hAnsi="Times New Roman"/>
          <w:b/>
          <w:bCs/>
          <w:color w:val="000000"/>
          <w:sz w:val="24"/>
          <w:szCs w:val="24"/>
        </w:rPr>
        <w:t xml:space="preserve">ARTIFICIAL INTELLIGENCE USE DISCLOSURE</w:t>
      </w:r>
    </w:p>
    <w:p>
      <w:pPr>
        <w:spacing w:after="0" w:line="480"/>
        <w:ind w:firstLine="431"/>
        <w:jc w:val="both"/>
      </w:pPr>
      <w:r>
        <w:rPr>
          <w:rFonts w:ascii="Times New Roman" w:cs="Times New Roman" w:eastAsia="Times New Roman" w:hAnsi="Times New Roman"/>
          <w:sz w:val="24"/>
          <w:szCs w:val="24"/>
        </w:rPr>
        <w:t xml:space="preserve">Consistent with APS policy on the use of artificial intelligence tools, we describe the role of AI in this work. Vision-language models were used as plot-reading assistants in a two-tier arrangement. Curve-level extraction was performed independently by two models from different developers, Claude Opus 4.8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and GPT-4o (OpenAI)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with a value entering the dataset only where the two agreed. The retrospective verification audit described in Section II.A was then run by a later model generation from one of those developers, Claude Opus 5 and Claude Sonnet 5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accessed through the Anthropic Messages API between May and August 2026. The independence at the extraction tier is therefore across developers, and the audit tier adds a generational rather than a cross-developer check; we state the distinction because the audit is what surfaced the critical-field provenance finding of Section III.F and its strength should not be overstated. Their function was limited to locating axes and scales in published figures, digitizing data-point coordinates, and reading printed axis labels and captions. They were directed by fixed task-specific prompts, issued per figure and per paper, that named the target quantity, required the axis units to be read from the printed label rather than inferred, and stated that “no such data in this paper” is a correct and expected answer; the prompts are deposited with the data. They performed no fitting, aggregation, validation, or prediction; all such steps are deterministic Python code reproducible from the extracted data under fixed random seeds.</w:t>
      </w:r>
    </w:p>
    <w:p>
      <w:pPr>
        <w:spacing w:after="0" w:line="480"/>
        <w:ind w:firstLine="431"/>
        <w:jc w:val="both"/>
      </w:pPr>
      <w:r>
        <w:rPr>
          <w:rFonts w:ascii="Times New Roman" w:cs="Times New Roman" w:eastAsia="Times New Roman" w:hAnsi="Times New Roman"/>
          <w:sz w:val="24"/>
          <w:szCs w:val="24"/>
        </w:rPr>
        <w:t>Extraction outputs were verified in three ways. First, a cross-model agreement gate at the extraction tier: every figure was read independently by the two extraction models, prompted separately, with an explicit instruction that "no such data in this paper" is a correct answer, and a value entered the dataset only where both agreed. Second, manual verification by the authors against the source figures for all 23 fully fittable compounds of the pre-withdrawal cohort, and for every disagreement escalated by the agreement gate. Third, physicality constraints on the fitted exponents for the partial-fit records. The critical-field provenance finding reported in Section III.F was produced by this verification process, not discovered after publication, and we report it here for that reason.</w:t>
      </w:r>
    </w:p>
    <w:p>
      <w:pPr>
        <w:spacing w:after="0" w:line="480"/>
        <w:ind w:firstLine="431"/>
        <w:jc w:val="both"/>
      </w:pPr>
      <w:r>
        <w:rPr>
          <w:rFonts w:ascii="Times New Roman" w:cs="Times New Roman" w:eastAsia="Times New Roman" w:hAnsi="Times New Roman"/>
          <w:sz w:val="24"/>
          <w:szCs w:val="24"/>
        </w:rPr>
        <w:t xml:space="preserve">Large language models were also used for organizational assistance in structuring analysis scripts and for editorial review of manuscript prose. No text in this manuscript was generated by an AI system without author review and revision, and the authors take full responsibility for all content, analysis, and conclusions.</w:t>
      </w:r>
    </w:p>
    <w:p>
      <w:pPr>
        <w:pStyle w:val="Heading1"/>
        <w:spacing w:after="240" w:before="480"/>
        <w:jc w:val="center"/>
      </w:pPr>
      <w:r>
        <w:rPr>
          <w:rFonts w:ascii="Times New Roman" w:cs="Times New Roman" w:eastAsia="Times New Roman" w:hAnsi="Times New Roman"/>
          <w:b/>
          <w:bCs/>
          <w:color w:val="000000"/>
          <w:sz w:val="24"/>
          <w:szCs w:val="24"/>
        </w:rPr>
        <w:t xml:space="preserve">ACKNOWLEDGMENTS</w:t>
      </w:r>
    </w:p>
    <w:p>
      <w:pPr>
        <w:spacing w:after="0" w:line="480"/>
        <w:ind w:firstLine="431"/>
        <w:jc w:val="both"/>
      </w:pPr>
      <w:r>
        <w:rPr>
          <w:rFonts w:ascii="Times New Roman" w:cs="Times New Roman" w:eastAsia="Times New Roman" w:hAnsi="Times New Roman"/>
          <w:sz w:val="24"/>
          <w:szCs w:val="24"/>
        </w:rPr>
        <w:t xml:space="preserve">The authors acknowledge UCLA library services for access to the literature and the Materials Project, 3DSC_MP, and SuperCon database teams for open access to the structural and superconductivity records used in this work. The authors also acknowledge illuminating discussions with Alexander Balandin and Aashman Mehta. We thank the two anonymous referees, whose questions about the field-axis physics and the effective dataset size led directly to the audit reported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DATA AVAILABILITY</w:t>
      </w:r>
    </w:p>
    <w:p>
      <w:pPr>
        <w:spacing w:after="0" w:line="480"/>
        <w:ind w:firstLine="431"/>
        <w:jc w:val="both"/>
      </w:pPr>
      <w:r>
        <w:rPr>
          <w:rFonts w:ascii="Times New Roman" w:cs="Times New Roman" w:eastAsia="Times New Roman" w:hAnsi="Times New Roman"/>
          <w:sz w:val="24"/>
          <w:szCs w:val="24"/>
        </w:rPr>
        <w:t xml:space="preserve">The extracted critical-current dataset is publicly available at https://github.com/prachetpoddar/HT10016-critical-current-prediction. It includes curve-level metadata, fitted exponents, anchor values with their provenance tier, substructure labels, sample-form labels, validation splits, refusal flags, and candidate-prediction tables. Anchor records carry the provenance tier of Section II.B, distinguishing paper-reported, literature-cited, registry, and estimated values, and critical-field records carry the source-figure identifier from which each value was read together with the figure type. Magnetic-field values are deposited after the unit correction of Section II.A, with the correction log included so that the original and corrected values can be compared. Cross-model agreement reports from the verification procedure of Section II.A are deposited alongside the extraction, including the disagreement cases and their manual resolutions. Section 15 of the Supplemental Material reproduces excerpt rows from the anchor file, the field-axis fit file, and the candidate dispatch file, so that the schema, the provenance labels, and the refusal accounting can be read without retrieving the deposit.</w:t>
      </w:r>
    </w:p>
    <w:p>
      <w:pPr>
        <w:spacing w:after="0" w:line="480"/>
        <w:ind w:firstLine="431"/>
        <w:jc w:val="both"/>
      </w:pPr>
      <w:r>
        <w:rPr>
          <w:rFonts w:ascii="Times New Roman" w:cs="Times New Roman" w:eastAsia="Times New Roman" w:hAnsi="Times New Roman"/>
          <w:sz w:val="24"/>
          <w:szCs w:val="24"/>
        </w:rPr>
        <w:t>The repository will also contain scripts for fittability filtering, exponent fitting, substructure and sample-form conditioned aggregation, bootstrap uncertainty estimation, validation, and figure generation, together with the two implementations of the field-axis critical scale described in Section II.C, so that results reported through each path can be reproduced independently. The corpus enumeration behind Section III.F is deposited as a per-paper table recording, for each of the 2594 papers in the archive, whether a critical-field-versus-temperature caption and a critical-current-versus-field caption were detected, together with the 29 candidates that were read and span-tested.</w:t>
      </w:r>
    </w:p>
    <w:p>
      <w:pPr>
        <w:spacing w:after="0" w:line="480"/>
        <w:ind w:firstLine="431"/>
        <w:jc w:val="both"/>
      </w:pPr>
      <w:r>
        <w:rPr>
          <w:rFonts w:ascii="Times New Roman" w:cs="Times New Roman" w:eastAsia="Times New Roman" w:hAnsi="Times New Roman"/>
          <w:sz w:val="24"/>
          <w:szCs w:val="24"/>
        </w:rPr>
        <w:t xml:space="preserve">Source journal articles are not redistributed, being subject to publisher copyright; the repository provides article identifiers, metadata, extraction provenance, and links to sources where available, including the correction to the one archived file whose contents did not match its filename. Materials Project and 3DSC_MP-derived fields are reported with their database identifiers so that structural and compositional descriptors can be regenerated under the terms of the original databases. An archived snapshot with a permanent digital object identifier will be deposited before publication and the identifier added here.</w:t>
      </w:r>
    </w:p>
    <w:p>
      <w:pPr>
        <w:pStyle w:val="Heading1"/>
        <w:spacing w:after="240" w:before="480"/>
        <w:jc w:val="center"/>
      </w:pPr>
      <w:r>
        <w:rPr>
          <w:rFonts w:ascii="Times New Roman" w:cs="Times New Roman" w:eastAsia="Times New Roman" w:hAnsi="Times New Roman"/>
          <w:b/>
          <w:bCs/>
          <w:color w:val="000000"/>
          <w:sz w:val="24"/>
          <w:szCs w:val="24"/>
        </w:rPr>
        <w:t xml:space="preserve">REFERENCES</w:t>
      </w:r>
    </w:p>
    <w:p>
      <w:pPr>
        <w:spacing w:after="120" w:line="240"/>
        <w:ind w:left="431" w:hanging="431"/>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T. Xie and J. C. Grossman, Crystal graph convolutional neural networks for an accurate and interpretable prediction of material properties,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120</w:t>
      </w:r>
      <w:r>
        <w:rPr>
          <w:rFonts w:ascii="Times New Roman" w:cs="Times New Roman" w:eastAsia="Times New Roman" w:hAnsi="Times New Roman"/>
          <w:sz w:val="22"/>
          <w:szCs w:val="22"/>
        </w:rPr>
        <w:t xml:space="preserve">, 145301 (2018).</w:t>
      </w:r>
    </w:p>
    <w:p>
      <w:pPr>
        <w:spacing w:after="120" w:line="240"/>
        <w:ind w:left="431" w:hanging="431"/>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C. Chen, W. Ye, Y. Zuo, C. Zheng, and S. P. Ong, Graph networks as a universal machine learning framework for molecules and crystals, </w:t>
      </w:r>
      <w:r>
        <w:rPr>
          <w:rFonts w:ascii="Times New Roman" w:cs="Times New Roman" w:eastAsia="Times New Roman" w:hAnsi="Times New Roman"/>
          <w:i/>
          <w:iCs/>
          <w:sz w:val="22"/>
          <w:szCs w:val="22"/>
        </w:rPr>
        <w:t xml:space="preserve">Chem.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31</w:t>
      </w:r>
      <w:r>
        <w:rPr>
          <w:rFonts w:ascii="Times New Roman" w:cs="Times New Roman" w:eastAsia="Times New Roman" w:hAnsi="Times New Roman"/>
          <w:sz w:val="22"/>
          <w:szCs w:val="22"/>
        </w:rPr>
        <w:t xml:space="preserve">, 3564 (2019).</w:t>
      </w:r>
    </w:p>
    <w:p>
      <w:pPr>
        <w:spacing w:after="120" w:line="240"/>
        <w:ind w:left="431" w:hanging="431"/>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A. Jain, S. P. Ong, G. Hautier, W. Chen, W. D. Richards, S. Dacek, S. Cholia, D. Gunter, D. Skinner, G. Ceder, and K. A. Persson, The Materials Project: A materials genome approach to accelerating materials innovation, </w:t>
      </w:r>
      <w:r>
        <w:rPr>
          <w:rFonts w:ascii="Times New Roman" w:cs="Times New Roman" w:eastAsia="Times New Roman" w:hAnsi="Times New Roman"/>
          <w:i/>
          <w:iCs/>
          <w:sz w:val="22"/>
          <w:szCs w:val="22"/>
        </w:rPr>
        <w:t xml:space="preserve">APL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011002 (2013).</w:t>
      </w:r>
    </w:p>
    <w:p>
      <w:pPr>
        <w:spacing w:after="120" w:line="240"/>
        <w:ind w:left="431" w:hanging="431"/>
      </w:pP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L. Ward, A. Agrawal, A. Choudhary, and C. Wolverton, A general-purpose machine learning framework for predicting properties of inorganic materials,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16028 (2016).</w:t>
      </w:r>
    </w:p>
    <w:p>
      <w:pPr>
        <w:spacing w:after="120" w:line="240"/>
        <w:ind w:left="431" w:hanging="431"/>
      </w:pP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V. Stanev, C. Oses, A. G. Kusne, E. Rodriguez, J. Paglione, S. Curtarolo, and I. Takeuchi, Machine learning modeling of superconducting critical temperature,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 xml:space="preserve">, 29 (2018).</w:t>
      </w:r>
    </w:p>
    <w:p>
      <w:pPr>
        <w:spacing w:after="120" w:line="240"/>
        <w:ind w:left="431" w:hanging="431"/>
      </w:pP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T. Sommer, R. Willa, J. Schmalian, and P. Friederich, 3DSC–a dataset of superconductors including crystal structures, </w:t>
      </w:r>
      <w:r>
        <w:rPr>
          <w:rFonts w:ascii="Times New Roman" w:cs="Times New Roman" w:eastAsia="Times New Roman" w:hAnsi="Times New Roman"/>
          <w:i/>
          <w:iCs/>
          <w:sz w:val="22"/>
          <w:szCs w:val="22"/>
        </w:rPr>
        <w:t xml:space="preserve">Sci.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w:t>
      </w:r>
      <w:r>
        <w:rPr>
          <w:rFonts w:ascii="Times New Roman" w:cs="Times New Roman" w:eastAsia="Times New Roman" w:hAnsi="Times New Roman"/>
          <w:sz w:val="22"/>
          <w:szCs w:val="22"/>
        </w:rPr>
        <w:t xml:space="preserve">, 816 (2023).</w:t>
      </w:r>
    </w:p>
    <w:p>
      <w:pPr>
        <w:spacing w:after="120" w:line="240"/>
        <w:ind w:left="431" w:hanging="431"/>
      </w:pP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 xml:space="preserve"> K. Hamidieh, A data-driven statistical model for predicting the critical temperature of a superconductor, </w:t>
      </w:r>
      <w:r>
        <w:rPr>
          <w:rFonts w:ascii="Times New Roman" w:cs="Times New Roman" w:eastAsia="Times New Roman" w:hAnsi="Times New Roman"/>
          <w:i/>
          <w:iCs/>
          <w:sz w:val="22"/>
          <w:szCs w:val="22"/>
        </w:rPr>
        <w:t xml:space="preserve">Comput. Mater. Sci.</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154</w:t>
      </w:r>
      <w:r>
        <w:rPr>
          <w:rFonts w:ascii="Times New Roman" w:cs="Times New Roman" w:eastAsia="Times New Roman" w:hAnsi="Times New Roman"/>
          <w:sz w:val="22"/>
          <w:szCs w:val="22"/>
        </w:rPr>
        <w:t xml:space="preserve">, 346 (2018).</w:t>
      </w:r>
    </w:p>
    <w:p>
      <w:pPr>
        <w:spacing w:after="120" w:line="240"/>
        <w:ind w:left="431" w:hanging="431"/>
      </w:pPr>
      <w:r>
        <w:rPr>
          <w:rFonts w:ascii="Times New Roman" w:cs="Times New Roman" w:eastAsia="Times New Roman" w:hAnsi="Times New Roman"/>
          <w:sz w:val="22"/>
          <w:szCs w:val="22"/>
        </w:rPr>
        <w:t xml:space="preserve">[8]</w:t>
      </w:r>
      <w:r>
        <w:rPr>
          <w:rFonts w:ascii="Times New Roman" w:cs="Times New Roman" w:eastAsia="Times New Roman" w:hAnsi="Times New Roman"/>
          <w:sz w:val="22"/>
          <w:szCs w:val="22"/>
        </w:rPr>
        <w:t xml:space="preserve"> T. Konno, H. Kurokawa, F. Nabeshima, Y. Sakishita, R. Ogawa, I. Hosako, and A. Maeda, Deep learning model for finding new superconductors, </w:t>
      </w:r>
      <w:r>
        <w:rPr>
          <w:rFonts w:ascii="Times New Roman" w:cs="Times New Roman" w:eastAsia="Times New Roman" w:hAnsi="Times New Roman"/>
          <w:i/>
          <w:iCs/>
          <w:sz w:val="22"/>
          <w:szCs w:val="22"/>
        </w:rPr>
        <w:t xml:space="preserve">Phys. Rev.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103</w:t>
      </w:r>
      <w:r>
        <w:rPr>
          <w:rFonts w:ascii="Times New Roman" w:cs="Times New Roman" w:eastAsia="Times New Roman" w:hAnsi="Times New Roman"/>
          <w:sz w:val="22"/>
          <w:szCs w:val="22"/>
        </w:rPr>
        <w:t xml:space="preserve">, 014509 (2021).</w:t>
      </w:r>
    </w:p>
    <w:p>
      <w:pPr>
        <w:spacing w:after="120" w:line="240"/>
        <w:ind w:left="431" w:hanging="431"/>
      </w:pPr>
      <w:r>
        <w:rPr>
          <w:rFonts w:ascii="Times New Roman" w:cs="Times New Roman" w:eastAsia="Times New Roman" w:hAnsi="Times New Roman"/>
          <w:sz w:val="22"/>
          <w:szCs w:val="22"/>
        </w:rPr>
        <w:t xml:space="preserve">[9]</w:t>
      </w:r>
      <w:r>
        <w:rPr>
          <w:rFonts w:ascii="Times New Roman" w:cs="Times New Roman" w:eastAsia="Times New Roman" w:hAnsi="Times New Roman"/>
          <w:sz w:val="22"/>
          <w:szCs w:val="22"/>
        </w:rPr>
        <w:t xml:space="preserve"> D. Larbalestier, A. Gurevich, D. M. Feldmann, and A. Polyanskii,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superconducting materials for electric power applications,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414</w:t>
      </w:r>
      <w:r>
        <w:rPr>
          <w:rFonts w:ascii="Times New Roman" w:cs="Times New Roman" w:eastAsia="Times New Roman" w:hAnsi="Times New Roman"/>
          <w:sz w:val="22"/>
          <w:szCs w:val="22"/>
        </w:rPr>
        <w:t xml:space="preserve">, 368 (2001).</w:t>
      </w:r>
    </w:p>
    <w:p>
      <w:pPr>
        <w:spacing w:after="120" w:line="240"/>
        <w:ind w:left="431" w:hanging="431"/>
      </w:pPr>
      <w:r>
        <w:rPr>
          <w:rFonts w:ascii="Times New Roman" w:cs="Times New Roman" w:eastAsia="Times New Roman" w:hAnsi="Times New Roman"/>
          <w:sz w:val="22"/>
          <w:szCs w:val="22"/>
        </w:rPr>
        <w:t xml:space="preserve">[10]</w:t>
      </w:r>
      <w:r>
        <w:rPr>
          <w:rFonts w:ascii="Times New Roman" w:cs="Times New Roman" w:eastAsia="Times New Roman" w:hAnsi="Times New Roman"/>
          <w:sz w:val="22"/>
          <w:szCs w:val="22"/>
        </w:rPr>
        <w:t xml:space="preserve"> C. Buzea and T. Yamashita, Review of the superconducting properties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w:t>
      </w:r>
      <w:r>
        <w:rPr>
          <w:rFonts w:ascii="Times New Roman" w:cs="Times New Roman" w:eastAsia="Times New Roman" w:hAnsi="Times New Roman"/>
          <w:sz w:val="22"/>
          <w:szCs w:val="22"/>
        </w:rPr>
        <w:t xml:space="preserve">, R115 (2001).</w:t>
      </w:r>
    </w:p>
    <w:p>
      <w:pPr>
        <w:spacing w:after="120" w:line="240"/>
        <w:ind w:left="431" w:hanging="431"/>
      </w:pPr>
      <w:r>
        <w:rPr>
          <w:rFonts w:ascii="Times New Roman" w:cs="Times New Roman" w:eastAsia="Times New Roman" w:hAnsi="Times New Roman"/>
          <w:sz w:val="22"/>
          <w:szCs w:val="22"/>
        </w:rPr>
        <w:t xml:space="preserve">[11]</w:t>
      </w:r>
      <w:r>
        <w:rPr>
          <w:rFonts w:ascii="Times New Roman" w:cs="Times New Roman" w:eastAsia="Times New Roman" w:hAnsi="Times New Roman"/>
          <w:sz w:val="22"/>
          <w:szCs w:val="22"/>
        </w:rPr>
        <w:t xml:space="preserve"> N. R. Werthamer, E. Helfand, and P. C. Hohenberg, Temperature and purity dependence of the superconducting critical field,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sz w:val="22"/>
          <w:szCs w:val="22"/>
        </w:rPr>
        <w:t xml:space="preserve">. III. Electron spin and spin-orbit effects, </w:t>
      </w:r>
      <w:r>
        <w:rPr>
          <w:rFonts w:ascii="Times New Roman" w:cs="Times New Roman" w:eastAsia="Times New Roman" w:hAnsi="Times New Roman"/>
          <w:i/>
          <w:iCs/>
          <w:sz w:val="22"/>
          <w:szCs w:val="22"/>
        </w:rPr>
        <w:t xml:space="preserve">Phys. Rev.</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147</w:t>
      </w:r>
      <w:r>
        <w:rPr>
          <w:rFonts w:ascii="Times New Roman" w:cs="Times New Roman" w:eastAsia="Times New Roman" w:hAnsi="Times New Roman"/>
          <w:sz w:val="22"/>
          <w:szCs w:val="22"/>
        </w:rPr>
        <w:t xml:space="preserve">, 295 (1966).</w:t>
      </w:r>
    </w:p>
    <w:p>
      <w:pPr>
        <w:spacing w:after="120" w:line="240"/>
        <w:ind w:left="431" w:hanging="431"/>
      </w:pPr>
      <w:r>
        <w:rPr>
          <w:rFonts w:ascii="Times New Roman" w:cs="Times New Roman" w:eastAsia="Times New Roman" w:hAnsi="Times New Roman"/>
          <w:sz w:val="22"/>
          <w:szCs w:val="22"/>
        </w:rPr>
        <w:t xml:space="preserve">[12]</w:t>
      </w:r>
      <w:r>
        <w:rPr>
          <w:rFonts w:ascii="Times New Roman" w:cs="Times New Roman" w:eastAsia="Times New Roman" w:hAnsi="Times New Roman"/>
          <w:sz w:val="22"/>
          <w:szCs w:val="22"/>
        </w:rPr>
        <w:t xml:space="preserve"> E. J. Kramer, Scaling laws for flux pinning in hard superconductors, </w:t>
      </w:r>
      <w:r>
        <w:rPr>
          <w:rFonts w:ascii="Times New Roman" w:cs="Times New Roman" w:eastAsia="Times New Roman" w:hAnsi="Times New Roman"/>
          <w:i/>
          <w:iCs/>
          <w:sz w:val="22"/>
          <w:szCs w:val="22"/>
        </w:rPr>
        <w:t xml:space="preserve">J. Appl.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44</w:t>
      </w:r>
      <w:r>
        <w:rPr>
          <w:rFonts w:ascii="Times New Roman" w:cs="Times New Roman" w:eastAsia="Times New Roman" w:hAnsi="Times New Roman"/>
          <w:sz w:val="22"/>
          <w:szCs w:val="22"/>
        </w:rPr>
        <w:t xml:space="preserve">, 1360 (1973).</w:t>
      </w:r>
    </w:p>
    <w:p>
      <w:pPr>
        <w:spacing w:after="120" w:line="240"/>
        <w:ind w:left="431" w:hanging="431"/>
      </w:pPr>
      <w:r>
        <w:rPr>
          <w:rFonts w:ascii="Times New Roman" w:cs="Times New Roman" w:eastAsia="Times New Roman" w:hAnsi="Times New Roman"/>
          <w:sz w:val="22"/>
          <w:szCs w:val="22"/>
        </w:rPr>
        <w:t xml:space="preserve">[13]</w:t>
      </w:r>
      <w:r>
        <w:rPr>
          <w:rFonts w:ascii="Times New Roman" w:cs="Times New Roman" w:eastAsia="Times New Roman" w:hAnsi="Times New Roman"/>
          <w:sz w:val="22"/>
          <w:szCs w:val="22"/>
        </w:rPr>
        <w:t xml:space="preserve"> D. Dew-Hughes, Flux pinning mechanisms in type II superconductors, </w:t>
      </w:r>
      <w:r>
        <w:rPr>
          <w:rFonts w:ascii="Times New Roman" w:cs="Times New Roman" w:eastAsia="Times New Roman" w:hAnsi="Times New Roman"/>
          <w:i/>
          <w:iCs/>
          <w:sz w:val="22"/>
          <w:szCs w:val="22"/>
        </w:rPr>
        <w:t xml:space="preserve">Philos. Mag.</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30</w:t>
      </w:r>
      <w:r>
        <w:rPr>
          <w:rFonts w:ascii="Times New Roman" w:cs="Times New Roman" w:eastAsia="Times New Roman" w:hAnsi="Times New Roman"/>
          <w:sz w:val="22"/>
          <w:szCs w:val="22"/>
        </w:rPr>
        <w:t xml:space="preserve">, 293 (1974).</w:t>
      </w:r>
    </w:p>
    <w:p>
      <w:pPr>
        <w:spacing w:after="120" w:line="240"/>
        <w:ind w:left="431" w:hanging="431"/>
      </w:pPr>
      <w:r>
        <w:rPr>
          <w:rFonts w:ascii="Times New Roman" w:cs="Times New Roman" w:eastAsia="Times New Roman" w:hAnsi="Times New Roman"/>
          <w:sz w:val="22"/>
          <w:szCs w:val="22"/>
        </w:rPr>
        <w:t xml:space="preserve">[14]</w:t>
      </w:r>
      <w:r>
        <w:rPr>
          <w:rFonts w:ascii="Times New Roman" w:cs="Times New Roman" w:eastAsia="Times New Roman" w:hAnsi="Times New Roman"/>
          <w:sz w:val="22"/>
          <w:szCs w:val="22"/>
        </w:rPr>
        <w:t xml:space="preserve"> G. Blatter, M. V. Feigel'man, V. B. Geshkenbein, A. I. Larkin, and V. M. Vinokur, Vortices in high-temperature superconductors,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66</w:t>
      </w:r>
      <w:r>
        <w:rPr>
          <w:rFonts w:ascii="Times New Roman" w:cs="Times New Roman" w:eastAsia="Times New Roman" w:hAnsi="Times New Roman"/>
          <w:sz w:val="22"/>
          <w:szCs w:val="22"/>
        </w:rPr>
        <w:t xml:space="preserve">, 1125 (1994).</w:t>
      </w:r>
    </w:p>
    <w:p>
      <w:pPr>
        <w:spacing w:after="120" w:line="240"/>
        <w:ind w:left="431" w:hanging="431"/>
      </w:pPr>
      <w:r>
        <w:rPr>
          <w:rFonts w:ascii="Times New Roman" w:cs="Times New Roman" w:eastAsia="Times New Roman" w:hAnsi="Times New Roman"/>
          <w:sz w:val="22"/>
          <w:szCs w:val="22"/>
        </w:rPr>
        <w:t xml:space="preserve">[15]</w:t>
      </w:r>
      <w:r>
        <w:rPr>
          <w:rFonts w:ascii="Times New Roman" w:cs="Times New Roman" w:eastAsia="Times New Roman" w:hAnsi="Times New Roman"/>
          <w:sz w:val="22"/>
          <w:szCs w:val="22"/>
        </w:rPr>
        <w:t xml:space="preserve"> L. Civale, A. D. Marwick, T. K. Worthington, M. A. Kirk, J. R. Thompson, L. Krusin-Elbaum, Y. Sun, J. R. Clem, and F. Holtzberg, Vortex confinement by columnar defects in YBa</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Cu</w:t>
      </w:r>
      <w:r>
        <w:rPr>
          <w:rFonts w:ascii="Times New Roman" w:cs="Times New Roman" w:eastAsia="Times New Roman" w:hAnsi="Times New Roman"/>
          <w:i w:val="false"/>
          <w:iCs w:val="false"/>
          <w:sz w:val="22"/>
          <w:szCs w:val="22"/>
          <w:vertAlign w:val="subscript"/>
        </w:rPr>
        <w:t xml:space="preserve">3</w:t>
      </w:r>
      <w:r>
        <w:rPr>
          <w:rFonts w:ascii="Times New Roman" w:cs="Times New Roman" w:eastAsia="Times New Roman" w:hAnsi="Times New Roman"/>
          <w:sz w:val="22"/>
          <w:szCs w:val="22"/>
        </w:rPr>
        <w:t xml:space="preserve">O</w:t>
      </w:r>
      <w:r>
        <w:rPr>
          <w:rFonts w:ascii="Times New Roman" w:cs="Times New Roman" w:eastAsia="Times New Roman" w:hAnsi="Times New Roman"/>
          <w:i w:val="false"/>
          <w:iCs w:val="false"/>
          <w:sz w:val="22"/>
          <w:szCs w:val="22"/>
          <w:vertAlign w:val="subscript"/>
        </w:rPr>
        <w:t xml:space="preserve">7</w:t>
      </w:r>
      <w:r>
        <w:rPr>
          <w:rFonts w:ascii="Times New Roman" w:cs="Times New Roman" w:eastAsia="Times New Roman" w:hAnsi="Times New Roman"/>
          <w:sz w:val="22"/>
          <w:szCs w:val="22"/>
        </w:rPr>
        <w:t xml:space="preserve"> crystals: Enhanced pinning at high fields and temperatures,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67</w:t>
      </w:r>
      <w:r>
        <w:rPr>
          <w:rFonts w:ascii="Times New Roman" w:cs="Times New Roman" w:eastAsia="Times New Roman" w:hAnsi="Times New Roman"/>
          <w:sz w:val="22"/>
          <w:szCs w:val="22"/>
        </w:rPr>
        <w:t xml:space="preserve">, 648 (1991).</w:t>
      </w:r>
    </w:p>
    <w:p>
      <w:pPr>
        <w:spacing w:after="120" w:line="240"/>
        <w:ind w:left="431" w:hanging="431"/>
      </w:pPr>
      <w:r>
        <w:rPr>
          <w:rFonts w:ascii="Times New Roman" w:cs="Times New Roman" w:eastAsia="Times New Roman" w:hAnsi="Times New Roman"/>
          <w:sz w:val="22"/>
          <w:szCs w:val="22"/>
        </w:rPr>
        <w:t xml:space="preserve">[16]</w:t>
      </w:r>
      <w:r>
        <w:rPr>
          <w:rFonts w:ascii="Times New Roman" w:cs="Times New Roman" w:eastAsia="Times New Roman" w:hAnsi="Times New Roman"/>
          <w:sz w:val="22"/>
          <w:szCs w:val="22"/>
        </w:rPr>
        <w:t xml:space="preserve"> E. H. Brandt, The flux-line lattice in superconductors, </w:t>
      </w:r>
      <w:r>
        <w:rPr>
          <w:rFonts w:ascii="Times New Roman" w:cs="Times New Roman" w:eastAsia="Times New Roman" w:hAnsi="Times New Roman"/>
          <w:i/>
          <w:iCs/>
          <w:sz w:val="22"/>
          <w:szCs w:val="22"/>
        </w:rPr>
        <w:t xml:space="preserve">Rep. Prog.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58</w:t>
      </w:r>
      <w:r>
        <w:rPr>
          <w:rFonts w:ascii="Times New Roman" w:cs="Times New Roman" w:eastAsia="Times New Roman" w:hAnsi="Times New Roman"/>
          <w:sz w:val="22"/>
          <w:szCs w:val="22"/>
        </w:rPr>
        <w:t xml:space="preserve">, 1465 (1995).</w:t>
      </w:r>
    </w:p>
    <w:p>
      <w:pPr>
        <w:spacing w:after="120" w:line="240"/>
        <w:ind w:left="431" w:hanging="431"/>
      </w:pPr>
      <w:r>
        <w:rPr>
          <w:rFonts w:ascii="Times New Roman" w:cs="Times New Roman" w:eastAsia="Times New Roman" w:hAnsi="Times New Roman"/>
          <w:sz w:val="22"/>
          <w:szCs w:val="22"/>
        </w:rPr>
        <w:t xml:space="preserve">[17]</w:t>
      </w:r>
      <w:r>
        <w:rPr>
          <w:rFonts w:ascii="Times New Roman" w:cs="Times New Roman" w:eastAsia="Times New Roman" w:hAnsi="Times New Roman"/>
          <w:sz w:val="22"/>
          <w:szCs w:val="22"/>
        </w:rPr>
        <w:t xml:space="preserve"> Y. Mizuguchi and Y. Takano, Review of Fe chalcogenides as the simplest Fe-based superconductor, </w:t>
      </w:r>
      <w:r>
        <w:rPr>
          <w:rFonts w:ascii="Times New Roman" w:cs="Times New Roman" w:eastAsia="Times New Roman" w:hAnsi="Times New Roman"/>
          <w:i/>
          <w:iCs/>
          <w:sz w:val="22"/>
          <w:szCs w:val="22"/>
        </w:rPr>
        <w:t xml:space="preserve">J. Phys. Soc. Jpn.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79</w:t>
      </w:r>
      <w:r>
        <w:rPr>
          <w:rFonts w:ascii="Times New Roman" w:cs="Times New Roman" w:eastAsia="Times New Roman" w:hAnsi="Times New Roman"/>
          <w:sz w:val="22"/>
          <w:szCs w:val="22"/>
        </w:rPr>
        <w:t xml:space="preserve">, 102001 (2010).</w:t>
      </w:r>
    </w:p>
    <w:p>
      <w:pPr>
        <w:spacing w:after="120" w:line="240"/>
        <w:ind w:left="431" w:hanging="431"/>
      </w:pP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J. G. Bednorz and K. A. Müller, Possible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superconductivity in the Ba-La-Cu-O system, </w:t>
      </w:r>
      <w:r>
        <w:rPr>
          <w:rFonts w:ascii="Times New Roman" w:cs="Times New Roman" w:eastAsia="Times New Roman" w:hAnsi="Times New Roman"/>
          <w:i/>
          <w:iCs/>
          <w:sz w:val="22"/>
          <w:szCs w:val="22"/>
        </w:rPr>
        <w:t xml:space="preserve">Z. Phys.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64</w:t>
      </w:r>
      <w:r>
        <w:rPr>
          <w:rFonts w:ascii="Times New Roman" w:cs="Times New Roman" w:eastAsia="Times New Roman" w:hAnsi="Times New Roman"/>
          <w:sz w:val="22"/>
          <w:szCs w:val="22"/>
        </w:rPr>
        <w:t xml:space="preserve">, 189 (1986).</w:t>
      </w:r>
    </w:p>
    <w:p>
      <w:pPr>
        <w:spacing w:after="120" w:line="240"/>
        <w:ind w:left="431" w:hanging="431"/>
      </w:pPr>
      <w:r>
        <w:rPr>
          <w:rFonts w:ascii="Times New Roman" w:cs="Times New Roman" w:eastAsia="Times New Roman" w:hAnsi="Times New Roman"/>
          <w:sz w:val="22"/>
          <w:szCs w:val="22"/>
        </w:rPr>
        <w:t xml:space="preserve">[19]</w:t>
      </w:r>
      <w:r>
        <w:rPr>
          <w:rFonts w:ascii="Times New Roman" w:cs="Times New Roman" w:eastAsia="Times New Roman" w:hAnsi="Times New Roman"/>
          <w:sz w:val="22"/>
          <w:szCs w:val="22"/>
        </w:rPr>
        <w:t xml:space="preserve"> J. Nagamatsu, N. Nakagawa, T. Muranaka, Y. Zenitani, and J. Akimitsu, Superconductivity at 39 K in magnesium diboride,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410</w:t>
      </w:r>
      <w:r>
        <w:rPr>
          <w:rFonts w:ascii="Times New Roman" w:cs="Times New Roman" w:eastAsia="Times New Roman" w:hAnsi="Times New Roman"/>
          <w:sz w:val="22"/>
          <w:szCs w:val="22"/>
        </w:rPr>
        <w:t xml:space="preserve">, 63 (2001).</w:t>
      </w:r>
    </w:p>
    <w:p>
      <w:pPr>
        <w:spacing w:after="120" w:line="240"/>
        <w:ind w:left="431" w:hanging="431"/>
      </w:pPr>
      <w:r>
        <w:rPr>
          <w:rFonts w:ascii="Times New Roman" w:cs="Times New Roman" w:eastAsia="Times New Roman" w:hAnsi="Times New Roman"/>
          <w:sz w:val="22"/>
          <w:szCs w:val="22"/>
        </w:rPr>
        <w:t xml:space="preserve">[20]</w:t>
      </w:r>
      <w:r>
        <w:rPr>
          <w:rFonts w:ascii="Times New Roman" w:cs="Times New Roman" w:eastAsia="Times New Roman" w:hAnsi="Times New Roman"/>
          <w:sz w:val="22"/>
          <w:szCs w:val="22"/>
        </w:rPr>
        <w:t xml:space="preserve"> F.-C. Hsu, J.-Y. Luo, K.-W. Yeh, T.-K. Chen, T.-W. Huang, P. M. Wu, Y.-C. Lee, Y.-L. Huang, Y.-Y. Chu, D.-C. Yan, and M.-K. Wu, Superconductivity in the PbO-type structure α-FeSe, </w:t>
      </w:r>
      <w:r>
        <w:rPr>
          <w:rFonts w:ascii="Times New Roman" w:cs="Times New Roman" w:eastAsia="Times New Roman" w:hAnsi="Times New Roman"/>
          <w:i/>
          <w:iCs/>
          <w:sz w:val="22"/>
          <w:szCs w:val="22"/>
        </w:rPr>
        <w:t xml:space="preserve">Proc. Natl. Acad. Sci. U.S.A.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105</w:t>
      </w:r>
      <w:r>
        <w:rPr>
          <w:rFonts w:ascii="Times New Roman" w:cs="Times New Roman" w:eastAsia="Times New Roman" w:hAnsi="Times New Roman"/>
          <w:sz w:val="22"/>
          <w:szCs w:val="22"/>
        </w:rPr>
        <w:t xml:space="preserve">, 14262 (2008).</w:t>
      </w:r>
    </w:p>
    <w:p>
      <w:pPr>
        <w:spacing w:after="120" w:line="240"/>
        <w:ind w:left="431" w:hanging="431"/>
      </w:pPr>
      <w:r>
        <w:rPr>
          <w:rFonts w:ascii="Times New Roman" w:cs="Times New Roman" w:eastAsia="Times New Roman" w:hAnsi="Times New Roman"/>
          <w:sz w:val="22"/>
          <w:szCs w:val="22"/>
        </w:rPr>
        <w:t xml:space="preserve">[21]</w:t>
      </w:r>
      <w:r>
        <w:rPr>
          <w:rFonts w:ascii="Times New Roman" w:cs="Times New Roman" w:eastAsia="Times New Roman" w:hAnsi="Times New Roman"/>
          <w:sz w:val="22"/>
          <w:szCs w:val="22"/>
        </w:rPr>
        <w:t xml:space="preserve"> Y. Kamihara, T. Watanabe, M. Hirano, and H. Hosono, Iron-based layered superconductor La[O</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F</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]FeAs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 0.05–0.12) with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 26 K, </w:t>
      </w:r>
      <w:r>
        <w:rPr>
          <w:rFonts w:ascii="Times New Roman" w:cs="Times New Roman" w:eastAsia="Times New Roman" w:hAnsi="Times New Roman"/>
          <w:i/>
          <w:iCs/>
          <w:sz w:val="22"/>
          <w:szCs w:val="22"/>
        </w:rPr>
        <w:t xml:space="preserve">J. Am. Chem. Soc.</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130</w:t>
      </w:r>
      <w:r>
        <w:rPr>
          <w:rFonts w:ascii="Times New Roman" w:cs="Times New Roman" w:eastAsia="Times New Roman" w:hAnsi="Times New Roman"/>
          <w:sz w:val="22"/>
          <w:szCs w:val="22"/>
        </w:rPr>
        <w:t xml:space="preserve">, 3296 (2008).</w:t>
      </w:r>
    </w:p>
    <w:p>
      <w:pPr>
        <w:spacing w:after="120" w:line="240"/>
        <w:ind w:left="431" w:hanging="431"/>
      </w:pPr>
      <w:r>
        <w:rPr>
          <w:rFonts w:ascii="Times New Roman" w:cs="Times New Roman" w:eastAsia="Times New Roman" w:hAnsi="Times New Roman"/>
          <w:sz w:val="22"/>
          <w:szCs w:val="22"/>
        </w:rPr>
        <w:t xml:space="preserve">[22]</w:t>
      </w:r>
      <w:r>
        <w:rPr>
          <w:rFonts w:ascii="Times New Roman" w:cs="Times New Roman" w:eastAsia="Times New Roman" w:hAnsi="Times New Roman"/>
          <w:sz w:val="22"/>
          <w:szCs w:val="22"/>
        </w:rPr>
        <w:t xml:space="preserve"> M. Rotter, M. Tegel, and D. Johrendt, Superconductivity at 38 K in the iron arsenide (Ba</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K</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As</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101</w:t>
      </w:r>
      <w:r>
        <w:rPr>
          <w:rFonts w:ascii="Times New Roman" w:cs="Times New Roman" w:eastAsia="Times New Roman" w:hAnsi="Times New Roman"/>
          <w:sz w:val="22"/>
          <w:szCs w:val="22"/>
        </w:rPr>
        <w:t xml:space="preserve">, 107006 (2008).</w:t>
      </w:r>
    </w:p>
    <w:p>
      <w:pPr>
        <w:spacing w:after="120" w:line="240"/>
        <w:ind w:left="431" w:hanging="431"/>
      </w:pPr>
      <w:r>
        <w:rPr>
          <w:rFonts w:ascii="Times New Roman" w:cs="Times New Roman" w:eastAsia="Times New Roman" w:hAnsi="Times New Roman"/>
          <w:sz w:val="22"/>
          <w:szCs w:val="22"/>
        </w:rPr>
        <w:t xml:space="preserve">[23]</w:t>
      </w:r>
      <w:r>
        <w:rPr>
          <w:rFonts w:ascii="Times New Roman" w:cs="Times New Roman" w:eastAsia="Times New Roman" w:hAnsi="Times New Roman"/>
          <w:sz w:val="22"/>
          <w:szCs w:val="22"/>
        </w:rPr>
        <w:t xml:space="preserve"> Z. Hong, L. Ward, K. Chard, B. Blaiszik, and I. Foster, Challenges and advances in information extraction from scientific literature: a review, </w:t>
      </w:r>
      <w:r>
        <w:rPr>
          <w:rFonts w:ascii="Times New Roman" w:cs="Times New Roman" w:eastAsia="Times New Roman" w:hAnsi="Times New Roman"/>
          <w:i/>
          <w:iCs/>
          <w:sz w:val="22"/>
          <w:szCs w:val="22"/>
        </w:rPr>
        <w:t xml:space="preserve">JOM</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73</w:t>
      </w:r>
      <w:r>
        <w:rPr>
          <w:rFonts w:ascii="Times New Roman" w:cs="Times New Roman" w:eastAsia="Times New Roman" w:hAnsi="Times New Roman"/>
          <w:sz w:val="22"/>
          <w:szCs w:val="22"/>
        </w:rPr>
        <w:t xml:space="preserve">, 3383 (2021).</w:t>
      </w:r>
    </w:p>
    <w:p>
      <w:pPr>
        <w:spacing w:after="120" w:line="240"/>
        <w:ind w:left="431" w:hanging="431"/>
      </w:pPr>
      <w:r>
        <w:rPr>
          <w:rFonts w:ascii="Times New Roman" w:cs="Times New Roman" w:eastAsia="Times New Roman" w:hAnsi="Times New Roman"/>
          <w:sz w:val="22"/>
          <w:szCs w:val="22"/>
        </w:rPr>
        <w:t xml:space="preserve">[24]</w:t>
      </w:r>
      <w:r>
        <w:rPr>
          <w:rFonts w:ascii="Times New Roman" w:cs="Times New Roman" w:eastAsia="Times New Roman" w:hAnsi="Times New Roman"/>
          <w:sz w:val="22"/>
          <w:szCs w:val="22"/>
        </w:rPr>
        <w:t xml:space="preserve"> T. Gupta, M. Zaki, N. M. A. Krishnan, and Mausam, MatSciBERT: A materials domain language model for text mining and information extraction,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w:t>
      </w:r>
      <w:r>
        <w:rPr>
          <w:rFonts w:ascii="Times New Roman" w:cs="Times New Roman" w:eastAsia="Times New Roman" w:hAnsi="Times New Roman"/>
          <w:sz w:val="22"/>
          <w:szCs w:val="22"/>
        </w:rPr>
        <w:t xml:space="preserve">, 102 (2022).</w:t>
      </w:r>
    </w:p>
    <w:p>
      <w:pPr>
        <w:spacing w:after="120" w:line="240"/>
        <w:ind w:left="431" w:hanging="431"/>
      </w:pPr>
      <w:r>
        <w:rPr>
          <w:rFonts w:ascii="Times New Roman" w:cs="Times New Roman" w:eastAsia="Times New Roman" w:hAnsi="Times New Roman"/>
          <w:sz w:val="22"/>
          <w:szCs w:val="22"/>
        </w:rPr>
        <w:t xml:space="preserve">[25]</w:t>
      </w:r>
      <w:r>
        <w:rPr>
          <w:rFonts w:ascii="Times New Roman" w:cs="Times New Roman" w:eastAsia="Times New Roman" w:hAnsi="Times New Roman"/>
          <w:sz w:val="22"/>
          <w:szCs w:val="22"/>
        </w:rPr>
        <w:t xml:space="preserve"> V. Tshitoyan, J. Dagdelen, L. Weston, A. Dunn, Z. Rong, O. Kononova, K. A. Persson, G. Ceder, and A. Jain, Unsupervised word embeddings capture latent knowledge from materials science literature,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571</w:t>
      </w:r>
      <w:r>
        <w:rPr>
          <w:rFonts w:ascii="Times New Roman" w:cs="Times New Roman" w:eastAsia="Times New Roman" w:hAnsi="Times New Roman"/>
          <w:sz w:val="22"/>
          <w:szCs w:val="22"/>
        </w:rPr>
        <w:t xml:space="preserve">, 95 (2019).</w:t>
      </w:r>
    </w:p>
    <w:p>
      <w:pPr>
        <w:spacing w:after="120" w:line="240"/>
        <w:ind w:left="431" w:hanging="431"/>
      </w:pPr>
      <w:r>
        <w:rPr>
          <w:rFonts w:ascii="Times New Roman" w:cs="Times New Roman" w:eastAsia="Times New Roman" w:hAnsi="Times New Roman"/>
          <w:sz w:val="22"/>
          <w:szCs w:val="22"/>
        </w:rPr>
        <w:t xml:space="preserve">[26]</w:t>
      </w:r>
      <w:r>
        <w:rPr>
          <w:rFonts w:ascii="Times New Roman" w:cs="Times New Roman" w:eastAsia="Times New Roman" w:hAnsi="Times New Roman"/>
          <w:sz w:val="22"/>
          <w:szCs w:val="22"/>
        </w:rPr>
        <w:t xml:space="preserve"> M. C. Swain and J. M. Cole, ChemDataExtractor: A toolkit for automated extraction of chemical information from the scientific literature, </w:t>
      </w:r>
      <w:r>
        <w:rPr>
          <w:rFonts w:ascii="Times New Roman" w:cs="Times New Roman" w:eastAsia="Times New Roman" w:hAnsi="Times New Roman"/>
          <w:i/>
          <w:iCs/>
          <w:sz w:val="22"/>
          <w:szCs w:val="22"/>
        </w:rPr>
        <w:t xml:space="preserve">J. Chem. Inf. Model.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56</w:t>
      </w:r>
      <w:r>
        <w:rPr>
          <w:rFonts w:ascii="Times New Roman" w:cs="Times New Roman" w:eastAsia="Times New Roman" w:hAnsi="Times New Roman"/>
          <w:sz w:val="22"/>
          <w:szCs w:val="22"/>
        </w:rPr>
        <w:t xml:space="preserve">, 1894 (2016).</w:t>
      </w:r>
    </w:p>
    <w:p>
      <w:pPr>
        <w:spacing w:after="120" w:line="240"/>
        <w:ind w:left="431" w:hanging="431"/>
      </w:pPr>
      <w:r>
        <w:rPr>
          <w:rFonts w:ascii="Times New Roman" w:cs="Times New Roman" w:eastAsia="Times New Roman" w:hAnsi="Times New Roman"/>
          <w:sz w:val="22"/>
          <w:szCs w:val="22"/>
        </w:rPr>
        <w:t xml:space="preserve">[27]</w:t>
      </w:r>
      <w:r>
        <w:rPr>
          <w:rFonts w:ascii="Times New Roman" w:cs="Times New Roman" w:eastAsia="Times New Roman" w:hAnsi="Times New Roman"/>
          <w:sz w:val="22"/>
          <w:szCs w:val="22"/>
        </w:rPr>
        <w:t xml:space="preserve"> OpenAI, GPT-4 Technical Report [Preprint], arXiv:2303.08774 (2023).</w:t>
      </w:r>
    </w:p>
    <w:p>
      <w:pPr>
        <w:spacing w:after="120" w:line="240"/>
        <w:ind w:left="431" w:hanging="431"/>
      </w:pPr>
      <w:r>
        <w:rPr>
          <w:rFonts w:ascii="Times New Roman" w:cs="Times New Roman" w:eastAsia="Times New Roman" w:hAnsi="Times New Roman"/>
          <w:sz w:val="22"/>
          <w:szCs w:val="22"/>
        </w:rPr>
        <w:t xml:space="preserve">[28]</w:t>
      </w:r>
      <w:r>
        <w:rPr>
          <w:rFonts w:ascii="Times New Roman" w:cs="Times New Roman" w:eastAsia="Times New Roman" w:hAnsi="Times New Roman"/>
          <w:sz w:val="22"/>
          <w:szCs w:val="22"/>
        </w:rPr>
        <w:t xml:space="preserve"> OpenAI, GPT-4V(ision) System Card, OpenAI Technical Report (2023). Available at https://openai.com/index/gpt-4v-system-card/ (accessed May 2025).</w:t>
      </w:r>
    </w:p>
    <w:p>
      <w:pPr>
        <w:spacing w:after="120" w:line="240"/>
        <w:ind w:left="431" w:hanging="431"/>
      </w:pPr>
      <w:r>
        <w:rPr>
          <w:rFonts w:ascii="Times New Roman" w:cs="Times New Roman" w:eastAsia="Times New Roman" w:hAnsi="Times New Roman"/>
          <w:sz w:val="22"/>
          <w:szCs w:val="22"/>
        </w:rPr>
        <w:t xml:space="preserve">[29]</w:t>
      </w:r>
      <w:r>
        <w:rPr>
          <w:rFonts w:ascii="Times New Roman" w:cs="Times New Roman" w:eastAsia="Times New Roman" w:hAnsi="Times New Roman"/>
          <w:sz w:val="22"/>
          <w:szCs w:val="22"/>
        </w:rPr>
        <w:t xml:space="preserve"> Y. Yeshurun and A. P. Malozemoff, Giant flux creep and irreversibility in an Y-Ba-Cu-O crystal: An alternative to the superconducting-glass model,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60</w:t>
      </w:r>
      <w:r>
        <w:rPr>
          <w:rFonts w:ascii="Times New Roman" w:cs="Times New Roman" w:eastAsia="Times New Roman" w:hAnsi="Times New Roman"/>
          <w:sz w:val="22"/>
          <w:szCs w:val="22"/>
        </w:rPr>
        <w:t xml:space="preserve">, 2202 (1988).</w:t>
      </w:r>
    </w:p>
    <w:p>
      <w:pPr>
        <w:spacing w:after="120" w:line="240"/>
        <w:ind w:left="431" w:hanging="431"/>
      </w:pPr>
      <w:r>
        <w:rPr>
          <w:rFonts w:ascii="Times New Roman" w:cs="Times New Roman" w:eastAsia="Times New Roman" w:hAnsi="Times New Roman"/>
          <w:sz w:val="22"/>
          <w:szCs w:val="22"/>
        </w:rPr>
        <w:t xml:space="preserve">[30]</w:t>
      </w:r>
      <w:r>
        <w:rPr>
          <w:rFonts w:ascii="Times New Roman" w:cs="Times New Roman" w:eastAsia="Times New Roman" w:hAnsi="Times New Roman"/>
          <w:sz w:val="22"/>
          <w:szCs w:val="22"/>
        </w:rPr>
        <w:t xml:space="preserve"> Y. B. Kim, C. F. Hempstead, and A. R. Strnad, Critical persistent currents in hard superconductors,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9</w:t>
      </w:r>
      <w:r>
        <w:rPr>
          <w:rFonts w:ascii="Times New Roman" w:cs="Times New Roman" w:eastAsia="Times New Roman" w:hAnsi="Times New Roman"/>
          <w:sz w:val="22"/>
          <w:szCs w:val="22"/>
        </w:rPr>
        <w:t xml:space="preserve">, 306 (1962).</w:t>
      </w:r>
    </w:p>
    <w:p>
      <w:pPr>
        <w:spacing w:after="120" w:line="240"/>
        <w:ind w:left="431" w:hanging="431"/>
      </w:pPr>
      <w:r>
        <w:rPr>
          <w:rFonts w:ascii="Times New Roman" w:cs="Times New Roman" w:eastAsia="Times New Roman" w:hAnsi="Times New Roman"/>
          <w:sz w:val="22"/>
          <w:szCs w:val="22"/>
        </w:rPr>
        <w:t xml:space="preserve">[31]</w:t>
      </w:r>
      <w:r>
        <w:rPr>
          <w:rFonts w:ascii="Times New Roman" w:cs="Times New Roman" w:eastAsia="Times New Roman" w:hAnsi="Times New Roman"/>
          <w:sz w:val="22"/>
          <w:szCs w:val="22"/>
        </w:rPr>
        <w:t xml:space="preserve"> C. K. Chow, On optimum recognition error and reject tradeoff, </w:t>
      </w:r>
      <w:r>
        <w:rPr>
          <w:rFonts w:ascii="Times New Roman" w:cs="Times New Roman" w:eastAsia="Times New Roman" w:hAnsi="Times New Roman"/>
          <w:i/>
          <w:iCs/>
          <w:sz w:val="22"/>
          <w:szCs w:val="22"/>
        </w:rPr>
        <w:t xml:space="preserve">IEEE Trans. Inf. Theory</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41 (1970).</w:t>
      </w:r>
    </w:p>
    <w:p>
      <w:pPr>
        <w:spacing w:after="120" w:line="240"/>
        <w:ind w:left="431" w:hanging="431"/>
      </w:pPr>
      <w:r>
        <w:rPr>
          <w:rFonts w:ascii="Times New Roman" w:cs="Times New Roman" w:eastAsia="Times New Roman" w:hAnsi="Times New Roman"/>
          <w:sz w:val="22"/>
          <w:szCs w:val="22"/>
        </w:rPr>
        <w:t xml:space="preserve">[32]</w:t>
      </w:r>
      <w:r>
        <w:rPr>
          <w:rFonts w:ascii="Times New Roman" w:cs="Times New Roman" w:eastAsia="Times New Roman" w:hAnsi="Times New Roman"/>
          <w:sz w:val="22"/>
          <w:szCs w:val="22"/>
        </w:rPr>
        <w:t xml:space="preserve"> R. El-Yaniv and Y. Wiener, On the foundations of noise-free selective classification, </w:t>
      </w:r>
      <w:r>
        <w:rPr>
          <w:rFonts w:ascii="Times New Roman" w:cs="Times New Roman" w:eastAsia="Times New Roman" w:hAnsi="Times New Roman"/>
          <w:i/>
          <w:iCs/>
          <w:sz w:val="22"/>
          <w:szCs w:val="22"/>
        </w:rPr>
        <w:t xml:space="preserve">J. Mach. Learn. Res.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11</w:t>
      </w:r>
      <w:r>
        <w:rPr>
          <w:rFonts w:ascii="Times New Roman" w:cs="Times New Roman" w:eastAsia="Times New Roman" w:hAnsi="Times New Roman"/>
          <w:sz w:val="22"/>
          <w:szCs w:val="22"/>
        </w:rPr>
        <w:t xml:space="preserve">, 1605 (2010).</w:t>
      </w:r>
    </w:p>
    <w:p>
      <w:pPr>
        <w:spacing w:after="120" w:line="240"/>
        <w:ind w:left="431" w:hanging="431"/>
      </w:pPr>
      <w:r>
        <w:rPr>
          <w:rFonts w:ascii="Times New Roman" w:cs="Times New Roman" w:eastAsia="Times New Roman" w:hAnsi="Times New Roman"/>
          <w:sz w:val="22"/>
          <w:szCs w:val="22"/>
        </w:rPr>
        <w:t xml:space="preserve">[33]</w:t>
      </w:r>
      <w:r>
        <w:rPr>
          <w:rFonts w:ascii="Times New Roman" w:cs="Times New Roman" w:eastAsia="Times New Roman" w:hAnsi="Times New Roman"/>
          <w:sz w:val="22"/>
          <w:szCs w:val="22"/>
        </w:rPr>
        <w:t xml:space="preserve"> Y. Geifman and R. El-Yaniv, Selective classification for deep neural networks, in </w:t>
      </w:r>
      <w:r>
        <w:rPr>
          <w:rFonts w:ascii="Times New Roman" w:cs="Times New Roman" w:eastAsia="Times New Roman" w:hAnsi="Times New Roman"/>
          <w:i/>
          <w:iCs/>
          <w:sz w:val="22"/>
          <w:szCs w:val="22"/>
        </w:rPr>
        <w:t xml:space="preserve">Advances in Neural Information Processing Systems 30</w:t>
      </w:r>
      <w:r>
        <w:rPr>
          <w:rFonts w:ascii="Times New Roman" w:cs="Times New Roman" w:eastAsia="Times New Roman" w:hAnsi="Times New Roman"/>
          <w:sz w:val="22"/>
          <w:szCs w:val="22"/>
        </w:rPr>
        <w:t xml:space="preserve"> (Curran Associates, 2017), p. 4878.</w:t>
      </w:r>
    </w:p>
    <w:p>
      <w:pPr>
        <w:spacing w:after="120" w:line="240"/>
        <w:ind w:left="431" w:hanging="431"/>
      </w:pPr>
      <w:r>
        <w:rPr>
          <w:rFonts w:ascii="Times New Roman" w:cs="Times New Roman" w:eastAsia="Times New Roman" w:hAnsi="Times New Roman"/>
          <w:sz w:val="22"/>
          <w:szCs w:val="22"/>
        </w:rPr>
        <w:t xml:space="preserve">[34]</w:t>
      </w:r>
      <w:r>
        <w:rPr>
          <w:rFonts w:ascii="Times New Roman" w:cs="Times New Roman" w:eastAsia="Times New Roman" w:hAnsi="Times New Roman"/>
          <w:sz w:val="22"/>
          <w:szCs w:val="22"/>
        </w:rPr>
        <w:t xml:space="preserve"> V. Vovk, A. Gammerman, and G. Shafer, </w:t>
      </w:r>
      <w:r>
        <w:rPr>
          <w:rFonts w:ascii="Times New Roman" w:cs="Times New Roman" w:eastAsia="Times New Roman" w:hAnsi="Times New Roman"/>
          <w:i/>
          <w:iCs/>
          <w:sz w:val="22"/>
          <w:szCs w:val="22"/>
        </w:rPr>
        <w:t xml:space="preserve">Algorithmic Learning in a Random World</w:t>
      </w:r>
      <w:r>
        <w:rPr>
          <w:rFonts w:ascii="Times New Roman" w:cs="Times New Roman" w:eastAsia="Times New Roman" w:hAnsi="Times New Roman"/>
          <w:sz w:val="22"/>
          <w:szCs w:val="22"/>
        </w:rPr>
        <w:t xml:space="preserve"> (Springer, New York, 2005).</w:t>
      </w:r>
    </w:p>
    <w:p>
      <w:pPr>
        <w:spacing w:after="120" w:line="240"/>
        <w:ind w:left="431" w:hanging="431"/>
      </w:pPr>
      <w:r>
        <w:rPr>
          <w:rFonts w:ascii="Times New Roman" w:cs="Times New Roman" w:eastAsia="Times New Roman" w:hAnsi="Times New Roman"/>
          <w:sz w:val="22"/>
          <w:szCs w:val="22"/>
        </w:rPr>
        <w:t xml:space="preserve">[35]</w:t>
      </w:r>
      <w:r>
        <w:rPr>
          <w:rFonts w:ascii="Times New Roman" w:cs="Times New Roman" w:eastAsia="Times New Roman" w:hAnsi="Times New Roman"/>
          <w:sz w:val="22"/>
          <w:szCs w:val="22"/>
        </w:rPr>
        <w:t xml:space="preserve"> A. N. Angelopoulos and S. Bates, Conformal prediction: A gentle introduction, </w:t>
      </w:r>
      <w:r>
        <w:rPr>
          <w:rFonts w:ascii="Times New Roman" w:cs="Times New Roman" w:eastAsia="Times New Roman" w:hAnsi="Times New Roman"/>
          <w:i/>
          <w:iCs/>
          <w:sz w:val="22"/>
          <w:szCs w:val="22"/>
        </w:rPr>
        <w:t xml:space="preserve">Found. Trends Mach. Learn.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494 (2023).</w:t>
      </w:r>
    </w:p>
    <w:p>
      <w:pPr>
        <w:spacing w:after="120" w:line="240"/>
        <w:ind w:left="431" w:hanging="431"/>
      </w:pPr>
      <w:r>
        <w:rPr>
          <w:rFonts w:ascii="Times New Roman" w:cs="Times New Roman" w:eastAsia="Times New Roman" w:hAnsi="Times New Roman"/>
          <w:sz w:val="22"/>
          <w:szCs w:val="22"/>
        </w:rPr>
        <w:t xml:space="preserve">[36]</w:t>
      </w:r>
      <w:r>
        <w:rPr>
          <w:rFonts w:ascii="Times New Roman" w:cs="Times New Roman" w:eastAsia="Times New Roman" w:hAnsi="Times New Roman"/>
          <w:sz w:val="22"/>
          <w:szCs w:val="22"/>
        </w:rPr>
        <w:t xml:space="preserve"> Anthropic, Claude model documentation, covering Claude Opus 4.8, Claude Opus 5, and Claude Sonnet 5 (Anthropic, San Francisco, 2026). Available at https://docs.anthropic.com/en/docs/about-claude/models (accessed August 2026).</w:t>
      </w:r>
    </w:p>
    <w:p>
      <w:pPr>
        <w:spacing w:after="120" w:line="240"/>
        <w:ind w:left="431" w:hanging="431"/>
      </w:pPr>
      <w:r>
        <w:rPr>
          <w:rFonts w:ascii="Times New Roman" w:cs="Times New Roman" w:eastAsia="Times New Roman" w:hAnsi="Times New Roman"/>
          <w:sz w:val="22"/>
          <w:szCs w:val="22"/>
        </w:rPr>
        <w:t xml:space="preserve">[37]</w:t>
      </w:r>
      <w:r>
        <w:rPr>
          <w:rFonts w:ascii="Times New Roman" w:cs="Times New Roman" w:eastAsia="Times New Roman" w:hAnsi="Times New Roman"/>
          <w:sz w:val="22"/>
          <w:szCs w:val="22"/>
        </w:rPr>
        <w:t xml:space="preserve"> J. Cohen, </w:t>
      </w:r>
      <w:r>
        <w:rPr>
          <w:rFonts w:ascii="Times New Roman" w:cs="Times New Roman" w:eastAsia="Times New Roman" w:hAnsi="Times New Roman"/>
          <w:i/>
          <w:iCs/>
          <w:sz w:val="22"/>
          <w:szCs w:val="22"/>
        </w:rPr>
        <w:t xml:space="preserve">Statistical Power Analysis for the Behavioral Sciences</w:t>
      </w:r>
      <w:r>
        <w:rPr>
          <w:rFonts w:ascii="Times New Roman" w:cs="Times New Roman" w:eastAsia="Times New Roman" w:hAnsi="Times New Roman"/>
          <w:sz w:val="22"/>
          <w:szCs w:val="22"/>
        </w:rPr>
        <w:t xml:space="preserve">, 2nd ed. (Lawrence Erlbaum Associates, Hillsdale, NJ, 1988).</w:t>
      </w:r>
    </w:p>
    <w:p>
      <w:pPr>
        <w:spacing w:after="120" w:line="240"/>
        <w:ind w:left="431" w:hanging="431"/>
      </w:pPr>
      <w:r>
        <w:rPr>
          <w:rFonts w:ascii="Times New Roman" w:cs="Times New Roman" w:eastAsia="Times New Roman" w:hAnsi="Times New Roman"/>
          <w:sz w:val="22"/>
          <w:szCs w:val="22"/>
        </w:rPr>
        <w:t xml:space="preserve">[38]</w:t>
      </w:r>
      <w:r>
        <w:rPr>
          <w:rFonts w:ascii="Times New Roman" w:cs="Times New Roman" w:eastAsia="Times New Roman" w:hAnsi="Times New Roman"/>
          <w:sz w:val="22"/>
          <w:szCs w:val="22"/>
        </w:rPr>
        <w:t xml:space="preserve"> M. Eisterer, Magnetic properties and critical currents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20</w:t>
      </w:r>
      <w:r>
        <w:rPr>
          <w:rFonts w:ascii="Times New Roman" w:cs="Times New Roman" w:eastAsia="Times New Roman" w:hAnsi="Times New Roman"/>
          <w:sz w:val="22"/>
          <w:szCs w:val="22"/>
        </w:rPr>
        <w:t xml:space="preserve">, R47 (2007).</w:t>
      </w:r>
    </w:p>
    <w:p>
      <w:pPr>
        <w:spacing w:after="120" w:line="240"/>
        <w:ind w:left="431" w:hanging="431"/>
      </w:pPr>
      <w:r>
        <w:rPr>
          <w:rFonts w:ascii="Times New Roman" w:cs="Times New Roman" w:eastAsia="Times New Roman" w:hAnsi="Times New Roman"/>
          <w:sz w:val="22"/>
          <w:szCs w:val="22"/>
        </w:rPr>
        <w:t xml:space="preserve">[39]</w:t>
      </w:r>
      <w:r>
        <w:rPr>
          <w:rFonts w:ascii="Times New Roman" w:cs="Times New Roman" w:eastAsia="Times New Roman" w:hAnsi="Times New Roman"/>
          <w:sz w:val="22"/>
          <w:szCs w:val="22"/>
        </w:rPr>
        <w:t xml:space="preserve"> K. Tran, W. Neiswanger, J. Yoon, Q. Zhang, E. Xing, and Z. W. Ulissi, Methods for comparing uncertainty quantifications for material property predictions, </w:t>
      </w:r>
      <w:r>
        <w:rPr>
          <w:rFonts w:ascii="Times New Roman" w:cs="Times New Roman" w:eastAsia="Times New Roman" w:hAnsi="Times New Roman"/>
          <w:i/>
          <w:iCs/>
          <w:sz w:val="22"/>
          <w:szCs w:val="22"/>
        </w:rPr>
        <w:t xml:space="preserve">Mach. Learn.: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025006 (2020).</w:t>
      </w:r>
    </w:p>
    <w:p>
      <w:pPr>
        <w:spacing w:after="120" w:line="240"/>
        <w:ind w:left="431" w:hanging="431"/>
      </w:pPr>
      <w:r>
        <w:rPr>
          <w:rFonts w:ascii="Times New Roman" w:cs="Times New Roman" w:eastAsia="Times New Roman" w:hAnsi="Times New Roman"/>
          <w:sz w:val="22"/>
          <w:szCs w:val="22"/>
        </w:rPr>
        <w:t xml:space="preserve">[40]</w:t>
      </w:r>
      <w:r>
        <w:rPr>
          <w:rFonts w:ascii="Times New Roman" w:cs="Times New Roman" w:eastAsia="Times New Roman" w:hAnsi="Times New Roman"/>
          <w:sz w:val="22"/>
          <w:szCs w:val="22"/>
        </w:rPr>
        <w:t xml:space="preserve"> B. W. Roberts, Survey of superconductive materials and critical evaluation of selected properties, </w:t>
      </w:r>
      <w:r>
        <w:rPr>
          <w:rFonts w:ascii="Times New Roman" w:cs="Times New Roman" w:eastAsia="Times New Roman" w:hAnsi="Times New Roman"/>
          <w:i/>
          <w:iCs/>
          <w:sz w:val="22"/>
          <w:szCs w:val="22"/>
        </w:rPr>
        <w:t xml:space="preserve">J. Phys. Chem. Ref.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 xml:space="preserve">, 581 (1976).</w:t>
      </w:r>
    </w:p>
    <w:p>
      <w:pPr>
        <w:spacing w:after="120" w:line="240"/>
        <w:ind w:left="431" w:hanging="431"/>
      </w:pPr>
      <w:r>
        <w:rPr>
          <w:rFonts w:ascii="Times New Roman" w:cs="Times New Roman" w:eastAsia="Times New Roman" w:hAnsi="Times New Roman"/>
          <w:sz w:val="22"/>
          <w:szCs w:val="22"/>
        </w:rPr>
        <w:t xml:space="preserve">[41]</w:t>
      </w:r>
      <w:r>
        <w:rPr>
          <w:rFonts w:ascii="Times New Roman" w:cs="Times New Roman" w:eastAsia="Times New Roman" w:hAnsi="Times New Roman"/>
          <w:sz w:val="22"/>
          <w:szCs w:val="22"/>
        </w:rPr>
        <w:t xml:space="preserve"> B. Efron, Bootstrap methods: Another look at the jackknife, </w:t>
      </w:r>
      <w:r>
        <w:rPr>
          <w:rFonts w:ascii="Times New Roman" w:cs="Times New Roman" w:eastAsia="Times New Roman" w:hAnsi="Times New Roman"/>
          <w:i/>
          <w:iCs/>
          <w:sz w:val="22"/>
          <w:szCs w:val="22"/>
        </w:rPr>
        <w:t xml:space="preserve">Ann. Stat.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w:t>
      </w:r>
      <w:r>
        <w:rPr>
          <w:rFonts w:ascii="Times New Roman" w:cs="Times New Roman" w:eastAsia="Times New Roman" w:hAnsi="Times New Roman"/>
          <w:sz w:val="22"/>
          <w:szCs w:val="22"/>
        </w:rPr>
        <w:t xml:space="preserve">, 1 (1979).</w:t>
      </w:r>
    </w:p>
    <w:p>
      <w:pPr>
        <w:spacing w:after="120" w:line="240"/>
        <w:ind w:left="431" w:hanging="431"/>
      </w:pPr>
      <w:r>
        <w:rPr>
          <w:rFonts w:ascii="Times New Roman" w:cs="Times New Roman" w:eastAsia="Times New Roman" w:hAnsi="Times New Roman"/>
          <w:sz w:val="22"/>
          <w:szCs w:val="22"/>
        </w:rPr>
        <w:t xml:space="preserve">[42]</w:t>
      </w:r>
      <w:r>
        <w:rPr>
          <w:rFonts w:ascii="Times New Roman" w:cs="Times New Roman" w:eastAsia="Times New Roman" w:hAnsi="Times New Roman"/>
          <w:sz w:val="22"/>
          <w:szCs w:val="22"/>
        </w:rPr>
        <w:t xml:space="preserve"> E. F. Talantsev and J. L. Tallon, Universal self-field critical current for thin-film superconductors, </w:t>
      </w:r>
      <w:r>
        <w:rPr>
          <w:rFonts w:ascii="Times New Roman" w:cs="Times New Roman" w:eastAsia="Times New Roman" w:hAnsi="Times New Roman"/>
          <w:i/>
          <w:iCs/>
          <w:sz w:val="22"/>
          <w:szCs w:val="22"/>
        </w:rPr>
        <w:t xml:space="preserve">Nat. Commun.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7820 (2015).</w:t>
      </w:r>
    </w:p>
    <w:p>
      <w:pPr>
        <w:spacing w:after="120" w:line="240"/>
        <w:ind w:left="431" w:hanging="431"/>
      </w:pPr>
      <w:r>
        <w:rPr>
          <w:rFonts w:ascii="Times New Roman" w:cs="Times New Roman" w:eastAsia="Times New Roman" w:hAnsi="Times New Roman"/>
          <w:sz w:val="22"/>
          <w:szCs w:val="22"/>
        </w:rPr>
        <w:t xml:space="preserve">[43]</w:t>
      </w:r>
      <w:r>
        <w:rPr>
          <w:rFonts w:ascii="Times New Roman" w:cs="Times New Roman" w:eastAsia="Times New Roman" w:hAnsi="Times New Roman"/>
          <w:sz w:val="22"/>
          <w:szCs w:val="22"/>
        </w:rPr>
        <w:t xml:space="preserve"> G. R. Stewart, Superconductivity in iron compounds,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83</w:t>
      </w:r>
      <w:r>
        <w:rPr>
          <w:rFonts w:ascii="Times New Roman" w:cs="Times New Roman" w:eastAsia="Times New Roman" w:hAnsi="Times New Roman"/>
          <w:sz w:val="22"/>
          <w:szCs w:val="22"/>
        </w:rPr>
        <w:t xml:space="preserve">, 1589 (2011).</w:t>
      </w:r>
    </w:p>
    <w:p>
      <w:pPr>
        <w:spacing w:after="120" w:line="240"/>
        <w:ind w:left="431" w:hanging="431"/>
      </w:pPr>
      <w:r>
        <w:rPr>
          <w:rFonts w:ascii="Times New Roman" w:cs="Times New Roman" w:eastAsia="Times New Roman" w:hAnsi="Times New Roman"/>
          <w:sz w:val="22"/>
          <w:szCs w:val="22"/>
        </w:rPr>
        <w:t xml:space="preserve">[44]</w:t>
      </w:r>
      <w:r>
        <w:rPr>
          <w:rFonts w:ascii="Times New Roman" w:cs="Times New Roman" w:eastAsia="Times New Roman" w:hAnsi="Times New Roman"/>
          <w:sz w:val="22"/>
          <w:szCs w:val="22"/>
        </w:rPr>
        <w:t xml:space="preserve"> J. Paglione and R. L. Greene, High-temperature superconductivity in iron-based materials, </w:t>
      </w:r>
      <w:r>
        <w:rPr>
          <w:rFonts w:ascii="Times New Roman" w:cs="Times New Roman" w:eastAsia="Times New Roman" w:hAnsi="Times New Roman"/>
          <w:i/>
          <w:iCs/>
          <w:sz w:val="22"/>
          <w:szCs w:val="22"/>
        </w:rPr>
        <w:t xml:space="preserve">Nat.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645 (2010).</w:t>
      </w:r>
    </w:p>
    <w:p>
      <w:pPr>
        <w:spacing w:after="120" w:line="240"/>
        <w:ind w:left="431" w:hanging="431"/>
      </w:pPr>
      <w:r>
        <w:rPr>
          <w:rFonts w:ascii="Times New Roman" w:cs="Times New Roman" w:eastAsia="Times New Roman" w:hAnsi="Times New Roman"/>
          <w:sz w:val="22"/>
          <w:szCs w:val="22"/>
        </w:rPr>
        <w:t xml:space="preserve">[45]</w:t>
      </w:r>
      <w:r>
        <w:rPr>
          <w:rFonts w:ascii="Times New Roman" w:cs="Times New Roman" w:eastAsia="Times New Roman" w:hAnsi="Times New Roman"/>
          <w:sz w:val="22"/>
          <w:szCs w:val="22"/>
        </w:rPr>
        <w:t xml:space="preserve"> G. E. Karniadakis, I. G. Kevrekidis, L. Lu, P. Perdikaris, S. Wang, and L. Yang, Physics-informed machine learning, </w:t>
      </w:r>
      <w:r>
        <w:rPr>
          <w:rFonts w:ascii="Times New Roman" w:cs="Times New Roman" w:eastAsia="Times New Roman" w:hAnsi="Times New Roman"/>
          <w:i/>
          <w:iCs/>
          <w:sz w:val="22"/>
          <w:szCs w:val="22"/>
        </w:rPr>
        <w:t xml:space="preserve">Nat. Rev.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 xml:space="preserve">, 422 (2021).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i w:val="false"/>
      <w:iCs w:val="false"/>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ea695dcf031da35a47b193dbb02b6ecdd5a2c8.png"/><Relationship Id="rId9" Type="http://schemas.openxmlformats.org/officeDocument/2006/relationships/image" Target="media/4bb9610bbd2d1bc03ba609df25ff9e0107feb0ef.png"/><Relationship Id="rId10" Type="http://schemas.openxmlformats.org/officeDocument/2006/relationships/image" Target="media/3dc514a50ac7c96dd392cc226e22e9c4a2999c79.png"/><Relationship Id="rId11" Type="http://schemas.openxmlformats.org/officeDocument/2006/relationships/image" Target="media/ba5879ec8a0d31450da11ecfcac5256492dfe7d5.png"/><Relationship Id="rId12" Type="http://schemas.openxmlformats.org/officeDocument/2006/relationships/image" Target="media/ad7e70672d769313d2aa9207701a11fd21f18804.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2026-08-26T14:22:05.866Z</dcterms:created>
  <dcterms:modified xsi:type="dcterms:W3CDTF">2026-08-26T14:22:05.890Z</dcterms:modified>
</cp:coreProperties>
</file>

<file path=docProps/custom.xml><?xml version="1.0" encoding="utf-8"?>
<Properties xmlns="http://schemas.openxmlformats.org/officeDocument/2006/custom-properties" xmlns:vt="http://schemas.openxmlformats.org/officeDocument/2006/docPropsVTypes"/>
</file>