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its validated scope. Of the targets it was asked for, 1054 are refused for lying below the validated reduced field and 93 for lying at or above the reduced-temperature bound, leaving 163 emitted over 84 compounds, each carrying the scope it was emitted under.</w:t>
      </w:r>
    </w:p>
    <w:p>
      <w:pPr>
        <w:pStyle w:val="BodyText"/>
      </w:pPr>
      <w:r>
        <w:t>One further property bears on how the rest of this reply should be read. Every figure in the paper regenerates from the deposited data, every printed count is asserted against the deposited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there; at 20 K and 5 T the 77 records span 0.259 dex. At 20 K the explanation we gave holds: the conditioning fixes every parameter of the expression, the compound-specific inputs are the critical-field anchor and the transition temperature, and the prediction regresses on the temperature term with a slope of 1.22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0.0098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18 of the 20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no family cell can reach a probability below 0.10 under the only null that respects that structure.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final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