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w:t>
      </w:r>
      <w:r>
        <w:t xml:space="preserve"> </w:t>
      </w:r>
      <w:r>
        <w:t xml:space="preserve">with 1.613 for the transition-temperature-only baseline. These are</w:t>
      </w:r>
      <w:r>
        <w:t xml:space="preserve"> </w:t>
      </w:r>
      <w:r>
        <w:t xml:space="preserve">dimensionless exponent errors.</w:t>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w:t>
      </w:r>
      <w:r>
        <w:t xml:space="preserve"> </w:t>
      </w:r>
      <w:r>
        <w:t xml:space="preserve">122-type family these are 0.265 in log J</w:t>
      </w:r>
      <w:r>
        <w:rPr>
          <w:vertAlign w:val="subscript"/>
        </w:rPr>
        <w:t xml:space="preserve">c, partial</w:t>
      </w:r>
      <w:r>
        <w:t xml:space="preserve">, 1.158 in β</w:t>
      </w:r>
      <w:r>
        <w:rPr>
          <w:vertAlign w:val="subscript"/>
        </w:rPr>
        <w:t xml:space="preserve">T</w:t>
      </w:r>
      <w:r>
        <w:t xml:space="preserve">, and</w:t>
      </w:r>
      <w:r>
        <w:t xml:space="preserve"> </w:t>
      </w:r>
      <w:r>
        <w:t xml:space="preserve">0.920 in β</w:t>
      </w:r>
      <w:r>
        <w:rPr>
          <w:vertAlign w:val="subscript"/>
        </w:rPr>
        <w:t xml:space="preserve">H</w:t>
      </w:r>
      <w:r>
        <w:t>, measured across 36 field-axis fits passing physicality and 106 temperature-axis fits.</w:t>
      </w:r>
      <w:r/>
      <w:r>
        <w:t xml:space="preserve"> Evaluated at 4.2 K against a 22 K transition temperature</w:t>
      </w:r>
      <w:r>
        <w:t xml:space="preserve"> </w:t>
      </w:r>
      <w:r>
        <w:t xml:space="preserve">and a 50 T upper critical field, the quadrature gives 0.285 dex at 0.1 T, 0.286</w:t>
      </w:r>
      <w:r>
        <w:t xml:space="preserve"> </w:t>
      </w:r>
      <w:r>
        <w:t xml:space="preserve">dex at 1 T, and 0.289 dex at 5 T, which the main text quotes as 0.29 dex.</w:t>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Where the terms are in fact positively correlated, independent quadrature</w:t>
      </w:r>
      <w:r>
        <w:t xml:space="preserve"> </w:t>
      </w:r>
      <w:r>
        <w:t xml:space="preserve">understates the aggregate uncertainty, so 0.29 dex should be read as a lower</w:t>
      </w:r>
      <w:r>
        <w:t xml:space="preserve"> </w:t>
      </w:r>
      <w:r>
        <w:t xml:space="preserve">bound on the structural component rather than as a complete accounting.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55 candidates</w:t>
      </w:r>
      <w:r>
        <w:t xml:space="preserve"> </w:t>
      </w:r>
      <w:r>
        <w:t xml:space="preserve">and complete coverage. On the distinct-compound basis used in Table IV of the main text, seven anchors are</w:t>
      </w:r>
      <w:r>
        <w:t xml:space="preserve"> </w:t>
      </w:r>
      <w:r>
        <w:t xml:space="preserve">paper-reported and 24 use FeSe, FeTe, or FeSe-Te substructure-reference anchors with deviation</w:t>
      </w:r>
      <w:r>
        <w:t xml:space="preserve"> </w:t>
      </w:r>
      <w:r>
        <w:t xml:space="preserve">flags.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Iron chalcogenide 11</w:t>
            </w:r>
            <w:r/>
            <w:r/>
          </w:p>
        </w:tc>
        <w:tc>
          <w:tcPr/>
          <w:p>
            <w:pPr>
              <w:pStyle w:val="Compact"/>
              <w:jc w:val="left"/>
            </w:pPr>
            <w:r>
              <w:t>17</w:t>
            </w:r>
          </w:p>
        </w:tc>
        <w:tc>
          <w:tcPr/>
          <w:p>
            <w:pPr>
              <w:pStyle w:val="Compact"/>
              <w:jc w:val="left"/>
            </w:pPr>
            <w:r>
              <w:t>7</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5</w:t>
            </w:r>
          </w:p>
        </w:tc>
        <w:tc>
          <w:tcPr/>
          <w:p>
            <w:pPr>
              <w:pStyle w:val="Compact"/>
              <w:jc w:val="left"/>
            </w:pPr>
            <w:r>
              <w:t>980</w:t>
            </w:r>
          </w:p>
        </w:tc>
      </w:tr>
      <w:tr>
        <w:tc>
          <w:tcPr/>
          <w:p>
            <w:pPr>
              <w:pStyle w:val="Compact"/>
              <w:jc w:val="left"/>
            </w:pPr>
            <w:r>
              <w:t>Iron pnictide 111</w:t>
            </w:r>
            <w:r/>
            <w:r/>
          </w:p>
        </w:tc>
        <w:tc>
          <w:tcPr/>
          <w:p>
            <w:pPr>
              <w:pStyle w:val="Compact"/>
              <w:jc w:val="left"/>
            </w:pPr>
            <w:r>
              <w:t>2</w:t>
            </w:r>
          </w:p>
        </w:tc>
        <w:tc>
          <w:tcPr/>
          <w:p>
            <w:pPr>
              <w:pStyle w:val="Compact"/>
              <w:jc w:val="left"/>
            </w:pPr>
            <w:r>
              <w:t>2</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85</w:t>
            </w:r>
          </w:p>
        </w:tc>
      </w:tr>
      <w:tr>
        <w:tc>
          <w:tcPr/>
          <w:p>
            <w:pPr>
              <w:pStyle w:val="Compact"/>
              <w:jc w:val="left"/>
            </w:pPr>
            <w:r>
              <w:t>Iron pnictide 1111</w:t>
            </w:r>
            <w:r/>
            <w:r/>
          </w:p>
        </w:tc>
        <w:tc>
          <w:tcPr/>
          <w:p>
            <w:pPr>
              <w:pStyle w:val="Compact"/>
              <w:jc w:val="left"/>
            </w:pPr>
            <w:r>
              <w:t>13</w:t>
            </w:r>
          </w:p>
        </w:tc>
        <w:tc>
          <w:tcPr/>
          <w:p>
            <w:pPr>
              <w:pStyle w:val="Compact"/>
              <w:jc w:val="left"/>
            </w:pPr>
            <w:r>
              <w:t>6</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10</w:t>
            </w:r>
          </w:p>
        </w:tc>
        <w:tc>
          <w:tcPr/>
          <w:p>
            <w:pPr>
              <w:pStyle w:val="Compact"/>
              <w:jc w:val="left"/>
            </w:pPr>
            <w:r>
              <w:t>6</w:t>
            </w:r>
          </w:p>
        </w:tc>
        <w:tc>
          <w:tcPr/>
          <w:p>
            <w:pPr>
              <w:pStyle w:val="Compact"/>
              <w:jc w:val="left"/>
            </w:pPr>
            <w:r>
              <w:t>1149</w:t>
            </w:r>
          </w:p>
        </w:tc>
      </w:tr>
      <w:tr>
        <w:tc>
          <w:tcPr/>
          <w:p>
            <w:pPr>
              <w:pStyle w:val="Compact"/>
              <w:jc w:val="left"/>
            </w:pPr>
            <w:r>
              <w:t>Iron pnictide 122</w:t>
            </w:r>
            <w:r/>
            <w:r/>
          </w:p>
        </w:tc>
        <w:tc>
          <w:tcPr/>
          <w:p>
            <w:pPr>
              <w:pStyle w:val="Compact"/>
              <w:jc w:val="left"/>
            </w:pPr>
            <w:r>
              <w:t>21</w:t>
            </w:r>
          </w:p>
        </w:tc>
        <w:tc>
          <w:tcPr/>
          <w:p>
            <w:pPr>
              <w:pStyle w:val="Compact"/>
              <w:jc w:val="left"/>
            </w:pPr>
            <w:r>
              <w:t>14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10</w:t>
            </w:r>
          </w:p>
        </w:tc>
        <w:tc>
          <w:tcPr/>
          <w:p>
            <w:pPr>
              <w:pStyle w:val="Compact"/>
              <w:jc w:val="left"/>
            </w:pPr>
            <w:r>
              <w:t>7</w:t>
            </w:r>
          </w:p>
        </w:tc>
        <w:tc>
          <w:tcPr/>
          <w:p>
            <w:pPr>
              <w:pStyle w:val="Compact"/>
              <w:jc w:val="left"/>
            </w:pPr>
            <w:r>
              <w:t>1444</w:t>
            </w:r>
          </w:p>
        </w:tc>
      </w:tr>
      <w:tr>
        <w:tc>
          <w:tcPr/>
          <w:p>
            <w:pPr>
              <w:pStyle w:val="Compact"/>
              <w:jc w:val="left"/>
            </w:pPr>
            <w:r>
              <w:t>Conventional AlB2</w:t>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TOTAL</w:t>
            </w:r>
          </w:p>
        </w:tc>
        <w:tc>
          <w:tcPr/>
          <w:p>
            <w:pPr>
              <w:pStyle w:val="Compact"/>
              <w:jc w:val="left"/>
            </w:pPr>
            <w:r>
              <w:t>62</w:t>
            </w:r>
          </w:p>
        </w:tc>
        <w:tc>
          <w:tcPr/>
          <w:p>
            <w:pPr>
              <w:pStyle w:val="Compact"/>
              <w:jc w:val="left"/>
            </w:pPr>
            <w:r>
              <w:t>32</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38</w:t>
            </w:r>
          </w:p>
        </w:tc>
        <w:tc>
          <w:tcPr/>
          <w:p>
            <w:pPr>
              <w:pStyle w:val="Compact"/>
              <w:jc w:val="left"/>
            </w:pPr>
            <w:r>
              <w:t>22</w:t>
            </w:r>
          </w:p>
        </w:tc>
        <w:tc>
          <w:tcPr/>
          <w:p>
            <w:pPr>
              <w:pStyle w:val="Compact"/>
              <w:jc w:val="left"/>
            </w:pPr>
            <w:r>
              <w:t>4146</w:t>
            </w:r>
          </w:p>
        </w:tc>
      </w:tr>
    </w:tbl>
    <w:p>
      <w:pPr>
        <w:pStyle w:val="BodyText"/>
      </w:pPr>
      <w:r>
        <w:rPr>
          <w:bCs/>
          <w:b/>
        </w:rPr>
        <w:t xml:space="preserve">12. Prediction-scope sensitivity</w:t>
      </w:r>
    </w:p>
    <w:p>
      <w:pPr>
        <w:pStyle w:val="BodyText"/>
      </w:pPr>
      <w:r>
        <w:t xml:space="preserve">The scope-sensitivity analysis compares the committed prediction scope</w:t>
      </w:r>
      <w:r>
        <w:t xml:space="preserve"> </w:t>
      </w:r>
      <w:r>
        <w:t xml:space="preserve">with a substructure-aggregate fallback at the reference point T = 4.2 K</w:t>
      </w:r>
      <w:r>
        <w:t xml:space="preserve"> </w:t>
      </w:r>
      <w:r>
        <w:t xml:space="preserve">and H = 1 T. For the 11-type iron chalcogenide, 53 non-refused</w:t>
      </w:r>
      <w:r>
        <w:t xml:space="preserve"> </w:t>
      </w:r>
      <w:r>
        <w:t xml:space="preserve">candidates are evaluated. The median committed-minus-aggregate shift is</w:t>
      </w:r>
      <w:r>
        <w:t xml:space="preserve"> </w:t>
      </w:r>
      <w:r>
        <w:t xml:space="preserve">−0.0003 dex, with an interquartile range of [−0.0007, −0.0003] dex.</w:t>
      </w:r>
      <w:r>
        <w:t xml:space="preserve"> </w:t>
      </w:r>
      <w:r>
        <w:t xml:space="preserve">For the 122-type iron pnictide, 37 non-refused candidates are evaluated.</w:t>
      </w:r>
      <w:r>
        <w:t xml:space="preserve"> </w:t>
      </w:r>
      <w:r>
        <w:t xml:space="preserve">The median shift is −0.018 dex, with an interquartile range of [−0.018,</w:t>
      </w:r>
      <w:r>
        <w:t xml:space="preserve"> </w:t>
      </w:r>
      <w:r>
        <w:t xml:space="preserve">−0.018] dex. The MgB</w:t>
      </w:r>
      <w:r>
        <w:rPr>
          <w:vertAlign w:val="subscript"/>
        </w:rPr>
        <w:t xml:space="preserve">2</w:t>
      </w:r>
      <w:r>
        <w:t xml:space="preserve"> </w:t>
      </w:r>
      <w:r>
        <w:t xml:space="preserve">class is omitted from this comparison because</w:t>
      </w:r>
      <w:r>
        <w:t xml:space="preserve"> </w:t>
      </w:r>
      <w:r>
        <w:t xml:space="preserve">its committed prediction scope is already a substructure aggregate.</w:t>
      </w:r>
    </w:p>
    <w:p>
      <w:pPr>
        <w:pStyle w:val="BodyText"/>
      </w:pPr>
      <w:r>
        <w:t>These shifts are much smaller than the median bootstrap confidence-interval width of 0.61 dex, a factor of about 4.1 in Jc</w:t>
      </w:r>
      <w:r/>
      <w:r/>
      <w:r>
        <w:rPr>
          <w:vertAlign w:val="subscript"/>
        </w:rPr>
      </w:r>
      <w:r>
        <w:t>. For the 11-type iron</w:t>
      </w:r>
      <w:r>
        <w:t xml:space="preserve"> </w:t>
      </w:r>
      <w:r>
        <w:t xml:space="preserve">chalcogenide, the negligible shift reflects the current cohort</w:t>
      </w:r>
      <w:r>
        <w:t xml:space="preserve"> </w:t>
      </w:r>
      <w:r>
        <w:t xml:space="preserve">composition: the single-crystal cell dominates the Cohort B fits that</w:t>
      </w:r>
      <w:r>
        <w:t xml:space="preserve"> </w:t>
      </w:r>
      <w:r>
        <w:t xml:space="preserve">pass the physicality checks. For iron pnictide 122-type, the committed</w:t>
      </w:r>
      <w:r>
        <w:t xml:space="preserve"> </w:t>
      </w:r>
      <w:r>
        <w:t xml:space="preserve">rule gives a slightly more conservative prediction than the pooled</w:t>
      </w:r>
      <w:r>
        <w:t xml:space="preserve"> </w:t>
      </w:r>
      <w:r>
        <w:t xml:space="preserve">substructure-aggregate rule, with a downward shift of about 18 millidex.</w:t>
      </w:r>
      <w:r>
        <w:t xml:space="preserve"> </w:t>
      </w:r>
      <w:r>
        <w:t xml:space="preserve">The committed-scope predictions are therefore retained as the headline</w:t>
      </w:r>
      <w:r>
        <w:t xml:space="preserve"> </w:t>
      </w:r>
      <w:r>
        <w:t xml:space="preserve">values because they meet the variance-decomposition diagnostic and</w:t>
      </w:r>
      <w:r>
        <w:t xml:space="preserve"> </w:t>
      </w:r>
      <w:r>
        <w:t xml:space="preserve">produce changes that remain well below the calibrated uncertainty scale.</w:t>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w:t>
      </w:r>
      <w:r>
        <w:t xml:space="preserve"> </w:t>
      </w:r>
      <w:r>
        <w:t xml:space="preserve">verbatim rows from three of the deposited files so that the schema, the</w:t>
      </w:r>
      <w:r>
        <w:t xml:space="preserve"> </w:t>
      </w:r>
      <w:r>
        <w:t xml:space="preserve">provenance labels, and the refusal accounting can be inspected without</w:t>
      </w:r>
      <w:r>
        <w:t xml:space="preserve"> </w:t>
      </w:r>
      <w:r>
        <w:t xml:space="preserve">downloading the deposit.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96-row file behind the variance-decomposition diagnostic</w:t>
      </w:r>
      <w:r/>
      <w:r/>
      <w:r>
        <w:t xml:space="preserve"> of Sec. III.A of the main text. One row is one isotherm record, a single sample from one paper at one measurement temperature, so the 96 rows cover 60 physical samples.</w:t>
      </w:r>
      <w:r/>
      <w:r>
        <w:t xml:space="preserve"> Each row records one isotherm's anchor point, the temperature and field at which that measurement was taken, so the anchor involves no fitted exponent and no critical-field scale.</w:t>
      </w:r>
      <w:r/>
      <w:r/>
      <w:r/>
      <w:r>
        <w:t xml:space="preserve"> The five rows</w:t>
      </w:r>
      <w:r>
        <w:t xml:space="preserve"> </w:t>
      </w:r>
      <w:r>
        <w:t xml:space="preserve">from</w:t>
      </w:r>
      <w:r>
        <w:t xml:space="preserve"> </w:t>
      </w:r>
      <w:r>
        <w:rPr>
          <w:rStyle w:val="VerbatimChar"/>
        </w:rPr>
        <w:t xml:space="preserve">ceramint.2024.10.058</w:t>
      </w:r>
      <w:r>
        <w:t xml:space="preserve"> </w:t>
      </w:r>
      <w:r>
        <w:t xml:space="preserve">show what conditioning is for: five bulk specimens of</w:t>
      </w:r>
      <w:r>
        <w:t xml:space="preserve"> </w:t>
      </w:r>
      <w:r>
        <w:t xml:space="preserve">the same compound from the same paper, differing only in processing atmosphere,</w:t>
      </w:r>
      <w:r>
        <w:t xml:space="preserve"> </w:t>
      </w:r>
      <w:r>
        <w:t xml:space="preserve">span 0.26 dex. The two rows from</w:t>
      </w:r>
      <w:r>
        <w:t xml:space="preserve"> </w:t>
      </w:r>
      <w:r>
        <w:rPr>
          <w:rStyle w:val="VerbatimChar"/>
        </w:rPr>
        <w:t xml:space="preserve">mtphys.2022.100783</w:t>
      </w:r>
      <w:r>
        <w:t xml:space="preserve"> </w:t>
      </w:r>
      <w:r>
        <w:t xml:space="preserve">show the sample-form effect</w:t>
      </w:r>
      <w:r>
        <w:t xml:space="preserve"> </w:t>
      </w:r>
      <w:r>
        <w:t xml:space="preserve">within one paper.</w:t>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j.mtphys.2022.100783</w:t>
            </w:r>
          </w:p>
        </w:tc>
        <w:tc>
          <w:tcPr/>
          <w:p>
            <w:pPr>
              <w:pStyle w:val="Compact"/>
              <w:jc w:val="left"/>
            </w:pPr>
            <w:r>
              <w:t>Ba(Fe,Co)2As2</w:t>
            </w:r>
          </w:p>
        </w:tc>
        <w:tc>
          <w:tcPr/>
          <w:p>
            <w:pPr>
              <w:pStyle w:val="Compact"/>
              <w:jc w:val="left"/>
            </w:pPr>
            <w:r>
              <w:t>Polycrystal</w:t>
            </w:r>
          </w:p>
        </w:tc>
        <w:tc>
          <w:tcPr/>
          <w:p>
            <w:pPr>
              <w:pStyle w:val="Compact"/>
              <w:jc w:val="left"/>
            </w:pPr>
            <w:r>
              <w:t>Polycrystal</w:t>
            </w:r>
          </w:p>
        </w:tc>
        <w:tc>
          <w:tcPr/>
          <w:p>
            <w:pPr>
              <w:pStyle w:val="Compact"/>
              <w:jc w:val="right"/>
            </w:pPr>
            <w:r>
              <w:t>22.0</w:t>
            </w:r>
          </w:p>
        </w:tc>
        <w:tc>
          <w:tcPr/>
          <w:p>
            <w:pPr>
              <w:pStyle w:val="Compact"/>
              <w:jc w:val="left"/>
            </w:pPr>
            <w:r>
              <w:t>4.2 K, 0.5 T</w:t>
            </w:r>
          </w:p>
        </w:tc>
        <w:tc>
          <w:tcPr/>
          <w:p>
            <w:pPr>
              <w:pStyle w:val="Compact"/>
              <w:jc w:val="right"/>
            </w:pPr>
            <w:r>
              <w:t>5.903</w:t>
            </w:r>
          </w:p>
        </w:tc>
        <w:tc>
          <w:tcPr/>
          <w:p>
            <w:pPr>
              <w:pStyle w:val="Compact"/>
              <w:jc w:val="right"/>
            </w:pPr>
            <w:r>
              <w:t>40</w:t>
            </w:r>
          </w:p>
        </w:tc>
      </w:tr>
      <w:tr>
        <w:tc>
          <w:tcPr/>
          <w:p>
            <w:pPr>
              <w:pStyle w:val="Compact"/>
              <w:jc w:val="left"/>
            </w:pPr>
            <w:r>
              <w:t>j.mtphys.2022.100783</w:t>
            </w:r>
          </w:p>
        </w:tc>
        <w:tc>
          <w:tcPr/>
          <w:p>
            <w:pPr>
              <w:pStyle w:val="Compact"/>
              <w:jc w:val="left"/>
            </w:pPr>
            <w:r>
              <w:t>Ba(Fe,Co)2As2</w:t>
            </w:r>
          </w:p>
        </w:tc>
        <w:tc>
          <w:tcPr/>
          <w:p>
            <w:pPr>
              <w:pStyle w:val="Compact"/>
              <w:jc w:val="left"/>
            </w:pPr>
            <w:r>
              <w:t>Single crystal</w:t>
            </w:r>
          </w:p>
        </w:tc>
        <w:tc>
          <w:tcPr/>
          <w:p>
            <w:pPr>
              <w:pStyle w:val="Compact"/>
              <w:jc w:val="left"/>
            </w:pPr>
            <w:r>
              <w:t>Single crystal</w:t>
            </w:r>
          </w:p>
        </w:tc>
        <w:tc>
          <w:tcPr/>
          <w:p>
            <w:pPr>
              <w:pStyle w:val="Compact"/>
              <w:jc w:val="right"/>
            </w:pPr>
            <w:r>
              <w:t>22.0</w:t>
            </w:r>
          </w:p>
        </w:tc>
        <w:tc>
          <w:tcPr/>
          <w:p>
            <w:pPr>
              <w:pStyle w:val="Compact"/>
              <w:jc w:val="left"/>
            </w:pPr>
            <w:r>
              <w:t>4.2 K, 0.5 T</w:t>
            </w:r>
          </w:p>
        </w:tc>
        <w:tc>
          <w:tcPr/>
          <w:p>
            <w:pPr>
              <w:pStyle w:val="Compact"/>
              <w:jc w:val="right"/>
            </w:pPr>
            <w:r>
              <w:t>5.954</w:t>
            </w:r>
          </w:p>
        </w:tc>
        <w:tc>
          <w:tcPr/>
          <w:p>
            <w:pPr>
              <w:pStyle w:val="Compact"/>
              <w:jc w:val="right"/>
            </w:pPr>
            <w:r>
              <w:t>60</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LSCO-CS</w:t>
            </w:r>
          </w:p>
        </w:tc>
        <w:tc>
          <w:tcPr/>
          <w:p>
            <w:pPr>
              <w:pStyle w:val="Compact"/>
              <w:jc w:val="right"/>
            </w:pPr>
            <w:r>
              <w:t>38.0</w:t>
            </w:r>
          </w:p>
        </w:tc>
        <w:tc>
          <w:tcPr/>
          <w:p>
            <w:pPr>
              <w:pStyle w:val="Compact"/>
              <w:jc w:val="left"/>
            </w:pPr>
            <w:r>
              <w:t>5.0 K, 0.5 T</w:t>
            </w:r>
          </w:p>
        </w:tc>
        <w:tc>
          <w:tcPr/>
          <w:p>
            <w:pPr>
              <w:pStyle w:val="Compact"/>
              <w:jc w:val="right"/>
            </w:pPr>
            <w:r>
              <w:t>3.279</w:t>
            </w:r>
          </w:p>
        </w:tc>
        <w:tc>
          <w:tcPr/>
          <w:p>
            <w:pPr>
              <w:pStyle w:val="Compact"/>
              <w:jc w:val="right"/>
            </w:pPr>
            <w:r>
              <w:t>10</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Nitrogen-1</w:t>
            </w:r>
          </w:p>
        </w:tc>
        <w:tc>
          <w:tcPr/>
          <w:p>
            <w:pPr>
              <w:pStyle w:val="Compact"/>
              <w:jc w:val="right"/>
            </w:pPr>
            <w:r>
              <w:t>38.0</w:t>
            </w:r>
          </w:p>
        </w:tc>
        <w:tc>
          <w:tcPr/>
          <w:p>
            <w:pPr>
              <w:pStyle w:val="Compact"/>
              <w:jc w:val="left"/>
            </w:pPr>
            <w:r>
              <w:t>5.0 K, 0.5 T</w:t>
            </w:r>
          </w:p>
        </w:tc>
        <w:tc>
          <w:tcPr/>
          <w:p>
            <w:pPr>
              <w:pStyle w:val="Compact"/>
              <w:jc w:val="right"/>
            </w:pPr>
            <w:r>
              <w:t>3.342</w:t>
            </w:r>
          </w:p>
        </w:tc>
        <w:tc>
          <w:tcPr/>
          <w:p>
            <w:pPr>
              <w:pStyle w:val="Compact"/>
              <w:jc w:val="right"/>
            </w:pPr>
            <w:r>
              <w:t>10</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Nitrogen-2</w:t>
            </w:r>
          </w:p>
        </w:tc>
        <w:tc>
          <w:tcPr/>
          <w:p>
            <w:pPr>
              <w:pStyle w:val="Compact"/>
              <w:jc w:val="right"/>
            </w:pPr>
            <w:r>
              <w:t>38.0</w:t>
            </w:r>
          </w:p>
        </w:tc>
        <w:tc>
          <w:tcPr/>
          <w:p>
            <w:pPr>
              <w:pStyle w:val="Compact"/>
              <w:jc w:val="left"/>
            </w:pPr>
            <w:r>
              <w:t>5.0 K, 0.5 T</w:t>
            </w:r>
          </w:p>
        </w:tc>
        <w:tc>
          <w:tcPr/>
          <w:p>
            <w:pPr>
              <w:pStyle w:val="Compact"/>
              <w:jc w:val="right"/>
            </w:pPr>
            <w:r>
              <w:t>3.322</w:t>
            </w:r>
          </w:p>
        </w:tc>
        <w:tc>
          <w:tcPr/>
          <w:p>
            <w:pPr>
              <w:pStyle w:val="Compact"/>
              <w:jc w:val="right"/>
            </w:pPr>
            <w:r>
              <w:t>10</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Vac-1</w:t>
            </w:r>
          </w:p>
        </w:tc>
        <w:tc>
          <w:tcPr/>
          <w:p>
            <w:pPr>
              <w:pStyle w:val="Compact"/>
              <w:jc w:val="right"/>
            </w:pPr>
            <w:r>
              <w:t>38.0</w:t>
            </w:r>
          </w:p>
        </w:tc>
        <w:tc>
          <w:tcPr/>
          <w:p>
            <w:pPr>
              <w:pStyle w:val="Compact"/>
              <w:jc w:val="left"/>
            </w:pPr>
            <w:r>
              <w:t>5.0 K, 0.5 T</w:t>
            </w:r>
          </w:p>
        </w:tc>
        <w:tc>
          <w:tcPr/>
          <w:p>
            <w:pPr>
              <w:pStyle w:val="Compact"/>
              <w:jc w:val="right"/>
            </w:pPr>
            <w:r>
              <w:t>3.204</w:t>
            </w:r>
          </w:p>
        </w:tc>
        <w:tc>
          <w:tcPr/>
          <w:p>
            <w:pPr>
              <w:pStyle w:val="Compact"/>
              <w:jc w:val="right"/>
            </w:pPr>
            <w:r>
              <w:t>9</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Vac-2</w:t>
            </w:r>
          </w:p>
        </w:tc>
        <w:tc>
          <w:tcPr/>
          <w:p>
            <w:pPr>
              <w:pStyle w:val="Compact"/>
              <w:jc w:val="right"/>
            </w:pPr>
            <w:r>
              <w:t>38.0</w:t>
            </w:r>
          </w:p>
        </w:tc>
        <w:tc>
          <w:tcPr/>
          <w:p>
            <w:pPr>
              <w:pStyle w:val="Compact"/>
              <w:jc w:val="left"/>
            </w:pPr>
            <w:r>
              <w:t>5.0 K, 0.5 T</w:t>
            </w:r>
          </w:p>
        </w:tc>
        <w:tc>
          <w:tcPr/>
          <w:p>
            <w:pPr>
              <w:pStyle w:val="Compact"/>
              <w:jc w:val="right"/>
            </w:pPr>
            <w:r>
              <w:t>3.079</w:t>
            </w:r>
          </w:p>
        </w:tc>
        <w:tc>
          <w:tcPr/>
          <w:p>
            <w:pPr>
              <w:pStyle w:val="Compact"/>
              <w:jc w:val="right"/>
            </w:pPr>
            <w:r>
              <w:t>9</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3.903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3.857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3.806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3.954</w:t>
            </w:r>
          </w:p>
        </w:tc>
        <w:tc>
          <w:tcPr/>
          <w:p>
            <w:pPr>
              <w:pStyle w:val="Compact"/>
              <w:jc w:val="right"/>
            </w:pPr>
            <w:r>
              <w:t>14</w:t>
            </w:r>
          </w:p>
        </w:tc>
      </w:tr>
    </w:tbl>
    <w:p>
      <w:pPr>
        <w:pStyle w:val="BodyText"/>
      </w:pPr>
      <w:r>
        <w:rPr>
          <w:iCs/>
          <w:i/>
        </w:rPr>
        <w:t xml:space="preserve">Fitted field-axis exponents with their critical scale.</w:t>
      </w:r>
      <w:r>
        <w:t xml:space="preserve"> </w:t>
      </w:r>
      <w:r>
        <w:t xml:space="preserve">Table S5 is an excerpt</w:t>
      </w:r>
      <w:r>
        <w:t xml:space="preserve"> </w:t>
      </w:r>
      <w:r>
        <w:t xml:space="preserve">from</w:t>
      </w:r>
      <w:r>
        <w:t xml:space="preserve"> </w:t>
      </w:r>
      <w:r>
        <w:rPr>
          <w:rStyle w:val="VerbatimChar"/>
        </w:rPr>
        <w:t xml:space="preserve">phase_3_form3_fits_partial_cohortB_v2.csv</w:t>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 xml:space="preserve">here for width; the first three rows are wire, single crystal, and polycrystal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j.physc.2009.11.051</w:t>
            </w:r>
          </w:p>
        </w:tc>
        <w:tc>
          <w:tcPr/>
          <w:p>
            <w:pPr>
              <w:pStyle w:val="Compact"/>
              <w:jc w:val="left"/>
            </w:pPr>
            <w:r>
              <w:t>Ba(Fe0.93Co0.07)2As2</w:t>
            </w:r>
          </w:p>
        </w:tc>
        <w:tc>
          <w:tcPr/>
          <w:p>
            <w:pPr>
              <w:pStyle w:val="Compact"/>
              <w:jc w:val="left"/>
            </w:pPr>
            <w:r>
              <w:t>4.5 / 50.0</w:t>
            </w:r>
          </w:p>
        </w:tc>
        <w:tc>
          <w:tcPr/>
          <w:p>
            <w:pPr>
              <w:pStyle w:val="Compact"/>
              <w:jc w:val="left"/>
            </w:pPr>
            <w:r>
              <w:t>Tier 1, direct match</w:t>
            </w:r>
          </w:p>
        </w:tc>
        <w:tc>
          <w:tcPr/>
          <w:p>
            <w:pPr>
              <w:pStyle w:val="Compact"/>
              <w:jc w:val="right"/>
            </w:pPr>
            <w:r>
              <w:t>0.400</w:t>
            </w:r>
          </w:p>
        </w:tc>
        <w:tc>
          <w:tcPr/>
          <w:p>
            <w:pPr>
              <w:pStyle w:val="Compact"/>
              <w:jc w:val="left"/>
            </w:pPr>
            <w:r>
              <w:t>0.09 (0.01)</w:t>
            </w:r>
          </w:p>
        </w:tc>
        <w:tc>
          <w:tcPr/>
          <w:p>
            <w:pPr>
              <w:pStyle w:val="Compact"/>
              <w:jc w:val="left"/>
            </w:pPr>
            <w:r>
              <w:t>ok</w:t>
            </w:r>
          </w:p>
        </w:tc>
      </w:tr>
      <w:tr>
        <w:tc>
          <w:tcPr/>
          <w:p>
            <w:pPr>
              <w:pStyle w:val="Compact"/>
              <w:jc w:val="left"/>
            </w:pPr>
            <w:r>
              <w:t>j.physc.2010.05.048</w:t>
            </w:r>
          </w:p>
        </w:tc>
        <w:tc>
          <w:tcPr/>
          <w:p>
            <w:pPr>
              <w:pStyle w:val="Compact"/>
              <w:jc w:val="left"/>
            </w:pPr>
            <w:r>
              <w:t>FeTeSe</w:t>
            </w:r>
          </w:p>
        </w:tc>
        <w:tc>
          <w:tcPr/>
          <w:p>
            <w:pPr>
              <w:pStyle w:val="Compact"/>
              <w:jc w:val="left"/>
            </w:pPr>
            <w:r>
              <w:t>3.5 / 47.0</w:t>
            </w:r>
          </w:p>
        </w:tc>
        <w:tc>
          <w:tcPr/>
          <w:p>
            <w:pPr>
              <w:pStyle w:val="Compact"/>
              <w:jc w:val="left"/>
            </w:pPr>
            <w:r>
              <w:t>Tier 1, direct match</w:t>
            </w:r>
          </w:p>
        </w:tc>
        <w:tc>
          <w:tcPr/>
          <w:p>
            <w:pPr>
              <w:pStyle w:val="Compact"/>
              <w:jc w:val="right"/>
            </w:pPr>
            <w:r>
              <w:t>0.571</w:t>
            </w:r>
          </w:p>
        </w:tc>
        <w:tc>
          <w:tcPr/>
          <w:p>
            <w:pPr>
              <w:pStyle w:val="Compact"/>
              <w:jc w:val="left"/>
            </w:pPr>
            <w:r>
              <w:t>0.11 (0.02)</w:t>
            </w:r>
          </w:p>
        </w:tc>
        <w:tc>
          <w:tcPr/>
          <w:p>
            <w:pPr>
              <w:pStyle w:val="Compact"/>
              <w:jc w:val="left"/>
            </w:pPr>
            <w:r>
              <w:t>ok</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j.jpcs.2026.113652</w:t>
            </w:r>
          </w:p>
        </w:tc>
        <w:tc>
          <w:tcPr/>
          <w:p>
            <w:pPr>
              <w:pStyle w:val="Compact"/>
              <w:jc w:val="left"/>
            </w:pPr>
            <w:r>
              <w:t>Bi1.6Pb0.4Sr2Ca2Cu3O10</w:t>
            </w:r>
          </w:p>
        </w:tc>
        <w:tc>
          <w:tcPr/>
          <w:p>
            <w:pPr>
              <w:pStyle w:val="Compact"/>
              <w:jc w:val="left"/>
            </w:pPr>
            <w:r>
              <w:t>100.0 / 100.0</w:t>
            </w:r>
          </w:p>
        </w:tc>
        <w:tc>
          <w:tcPr/>
          <w:p>
            <w:pPr>
              <w:pStyle w:val="Compact"/>
              <w:jc w:val="left"/>
            </w:pPr>
            <w:r>
              <w:t>Tier 3, literature default</w:t>
            </w:r>
          </w:p>
        </w:tc>
        <w:tc>
          <w:tcPr/>
          <w:p>
            <w:pPr>
              <w:pStyle w:val="Compact"/>
              <w:jc w:val="right"/>
            </w:pPr>
            <w:r>
              <w:t>0.005</w:t>
            </w:r>
          </w:p>
        </w:tc>
        <w:tc>
          <w:tcPr/>
          <w:p>
            <w:pPr>
              <w:pStyle w:val="Compact"/>
              <w:jc w:val="left"/>
            </w:pPr>
            <w:r>
              <w:t>30.00 (131.97)</w:t>
            </w:r>
          </w:p>
        </w:tc>
        <w:tc>
          <w:tcPr/>
          <w:p>
            <w:pPr>
              <w:pStyle w:val="Compact"/>
              <w:jc w:val="left"/>
            </w:pPr>
            <w:r>
              <w:t>bound</w:t>
            </w:r>
          </w:p>
        </w:tc>
      </w:tr>
      <w:tr>
        <w:tc>
          <w:tcPr/>
          <w:p>
            <w:pPr>
              <w:pStyle w:val="Compact"/>
              <w:jc w:val="left"/>
            </w:pPr>
            <w:r>
              <w:t>s41598-025-95932-9</w:t>
            </w:r>
          </w:p>
        </w:tc>
        <w:tc>
          <w:tcPr/>
          <w:p>
            <w:pPr>
              <w:pStyle w:val="Compact"/>
              <w:jc w:val="left"/>
            </w:pPr>
            <w:r>
              <w:t>Bi2Sr2CaCu2O8</w:t>
            </w:r>
          </w:p>
        </w:tc>
        <w:tc>
          <w:tcPr/>
          <w:p>
            <w:pPr>
              <w:pStyle w:val="Compact"/>
              <w:jc w:val="left"/>
            </w:pPr>
            <w:r>
              <w:t>100.0 / 100.0</w:t>
            </w:r>
          </w:p>
        </w:tc>
        <w:tc>
          <w:tcPr/>
          <w:p>
            <w:pPr>
              <w:pStyle w:val="Compact"/>
              <w:jc w:val="left"/>
            </w:pPr>
            <w:r>
              <w:t>Tier 3, literature default</w:t>
            </w:r>
          </w:p>
        </w:tc>
        <w:tc>
          <w:tcPr/>
          <w:p>
            <w:pPr>
              <w:pStyle w:val="Compact"/>
              <w:jc w:val="right"/>
            </w:pPr>
            <w:r>
              <w:t>0.009</w:t>
            </w:r>
          </w:p>
        </w:tc>
        <w:tc>
          <w:tcPr/>
          <w:p>
            <w:pPr>
              <w:pStyle w:val="Compact"/>
              <w:jc w:val="left"/>
            </w:pPr>
            <w:r>
              <w:t>30.00 (158.66)</w:t>
            </w:r>
          </w:p>
        </w:tc>
        <w:tc>
          <w:tcPr/>
          <w:p>
            <w:pPr>
              <w:pStyle w:val="Compact"/>
              <w:jc w:val="left"/>
            </w:pPr>
            <w:r>
              <w:t>bound</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(20.20)</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three rows illustrate the structural property discussed in Sec. III.E of</w:t>
      </w:r>
      <w:r>
        <w:t xml:space="preserve"> </w:t>
      </w:r>
      <w:r>
        <w:t xml:space="preserve">the main text: the field dependence over the evaluated grid is small, 0.22 dex</w:t>
      </w:r>
      <w:r>
        <w:t xml:space="preserve"> </w:t>
      </w:r>
      <w:r>
        <w:t xml:space="preserve">from 0.1 to 5 T, because 5 T is a reduced field of 0.31 against this candidate’s</w:t>
      </w:r>
      <w:r>
        <w:t xml:space="preserve"> </w:t>
      </w:r>
      <w:r>
        <w:t xml:space="preserve">16 T anchor.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