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What the paper establishes</w:t>
      </w:r>
    </w:p>
    <w:p>
      <w:pPr>
        <w:pStyle w:val="BodyText"/>
      </w:pPr>
      <w:r>
        <w:t>The reply below is long and is organized around the referees' objections rather than around the results, so we state the results here first. The paper makes four claims and each is stated with the evidence that carries it.</w:t>
      </w:r>
    </w:p>
    <w:p>
      <w:pPr>
        <w:pStyle w:val="BodyText"/>
      </w:pPr>
      <w:r>
        <w:t>Universal reduced-variable scaling does not organize this corpus. Normalizing temperature and field by their critical values reduces the within-bin scatter of log10 Jc by 13.0% on the standard-deviation scale and 24.3% on the variance scale, and two direct tests say the same without reference to any threshold: the reduced coordinates carry no more structure than the same grid rotated to a random angle, and unnormalized laboratory temperature and applied field organize the same records better, 67.0% against 39.3%, by isolating compounds rather than collapsing them.</w:t>
      </w:r>
    </w:p>
    <w:p>
      <w:pPr>
        <w:pStyle w:val="BodyText"/>
      </w:pPr>
      <w:r>
        <w:t>Substructure family separates the temperature exponent. With source papers as the unit and the family label shuffled between them, the family accounts for 0.524 of the between-paper variance at a permutation probability of 0.007. Against an exhaustive enumeration of every alternative way of grouping the same eight compounds into three families, 966 in all, the exact probability is 0.0041. It survives on exponents rebuilt independently from the source figures, at 0.359 and 0.037.</w:t>
      </w:r>
    </w:p>
    <w:p>
      <w:pPr>
        <w:pStyle w:val="BodyText"/>
      </w:pPr>
      <w:r>
        <w:t>Nothing generalizes across source papers. Under a holdout that withholds every measurement of a paper, none of the three candidate functional forms reaches a median error below 0.9 dex, against 0.32 to 0.45 dex when the holdout is drawn within a compound. That is a factor of eight in critical current between predicting an unseen measurement and predicting an unseen paper, and it is the heterogeneity this paper is about, measured a second way.</w:t>
      </w:r>
    </w:p>
    <w:p>
      <w:pPr>
        <w:pStyle w:val="BodyText"/>
      </w:pPr>
      <w:r>
        <w:t>The framework declines to predict outside the window its exponents were calibrated over, and labels every value it does emit with the validation behind it. Of the targets it was asked for, 1054 are refused for lying below the calibrated reduced field and 93 for lying at or above the reduced-temperature bound, leaving 163 emitted over 84 compounds. We are explicit about what the gates do not do. They test a target against that window, and on the field axis they refuse a family that failed validation, but nothing refuses a family that could not be assessed. That is the family which emits: MgB2-class carries no fits in the temperature-axis cohort, so the compound leave-one-out test cannot be run on it. The emitted values say so.</w:t>
      </w:r>
    </w:p>
    <w:p>
      <w:pPr>
        <w:pStyle w:val="BodyText"/>
      </w:pPr>
      <w:r>
        <w:t>One further property bears on how the rest of this reply should be read. Every figure in the paper regenerates from the deposited data pixel for pixel, the candidate dispatch table regenerates from the deposited tables cell for cell, every printed count is asserted against those tables by a script that ships with the paper, and where a quantity could not be reproduced we say so and give the figure that can. The corrections listed below are the output of that standard, applied by us before submission, rather than a list of things we happened to notice.</w:t>
      </w:r>
    </w:p>
    <w:p>
      <w:pPr>
        <w:pStyle w:val="BodyText"/>
      </w:pPr>
      <w:r>
        <w:t xml:space="preserve">The central results survive and are stated more precisely. Universal reduced-variable scaling does not organize the corpus. It reduces the within-bin scatter by 13.0% on the standard-deviation scale, replacing a previously reported 14.1% whose numerator and denominator had been computed on different populations, and that result is insensitive to a 35% perturbation of the estimated critical fields. We have withdrawn the 30% adoption threshold it was compared against, because we could give no construction for it, and Sec. III.D now tests the scaling claim directly: the reduced coordinates carry no more structure than the same grid rotated to a random angle, and unnormalized temperature and applied field organize the same records better by isolating compounds. The conditioning claim rests on the temperature-axis separation of Sec. III.C, not on the variance-decomposition diagnostic and not on the error ratio Referee A questioned. The applicability claim is narrowed, the field-axis results are retained but labelled with the scale that produced them, and the output is restated as family-scope envelopes together with a refusal decision. The manuscript is longer because each point needed its evidence set out, and it carries eleven displayed equations, four tables, and a numbered inference procedure.</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The data and the analysis code are now public at https://github.com/prachetpoddar/HT10016-critical-current-prediction, so the referee can read the tables and rerun the scripts while assessing the paper. We agree this belonged in the revision rather than deferred to publication. The Data Availability statement now specifies a deposit containing curve-level metadata, fitted exponents, anchor values with their provenance tier, substructure and sample-form labels, validation splits, refusal flags, and the candidate prediction table. Critical-field records additionally carry the identifier and the type of the source figure from which each value was read, which is what makes the provenance problem described below independently checkable rather than something the reader must take on trust. Section 13 of the Supplemental Material reports that audit with its counts, and Section 11 with Table S1 links every fitted exponent that enters the analysis to an auditable literature record. The corpus enumeration behind the field-axis discussion is deposited as a per-paper table covering the archived corpus.</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have also brought examples into the Supplemental Material itself, so that the referee can see the data without downloading the deposit. New Section 15 reproduces rows verbatim from three files, and opens with Fig. S1, which plots the extracted curve, the fitting window and the resulting fit for one retained record, one that runs to the applicability bound, and one we withdrew, so that the three outcomes can be compared directly. Table S4 gives curve-level anchor records, one row per physical sample per paper, including five bulk specimens of the same compound from one paper that differ only in processing atmosphere and span 0.26 dex. Table S5 gives fitted field-axis exponents alongside both critical-field values, the resolved one used in the fit and the literature zero-temperature one, with the provenance string for each. Table S6 gives candidate dispatch rows, including refused rows carrying their reason code and no value. We selected these rows to be useful rather than favourable: Table S5 includes the fits whose resolved scale sits far below the literature value and whose exponents run against the numerical bound, since those are the fits that motivate the qualification in Sec. III.F, and they should be visible in the paper rather than only in the deposit.</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Section II.C now defines the scaling exponent, the two exponents, and the intercept at first use, and states that an exponent is a dimensionless number. The referee is right that identifying the anchor with the pre-exponential factor is a connection we should have made. Section III opens with two conventions: errors in a fitted exponent are dimensionless, and only errors in the logarithm of the critical current are quoted in dex. Table S2 of the Supplemental Material now gives the condensed-matter reading of every term the referee lists, including the anchor as the pre-exponential factor, the substructure as a material family, the cell as a group of comparable specimens, and dex as a factor of ten. We have signposted that table where the vocabulary first becomes dense.</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The expression is an empirical parameterization over a restricted interval, which is what the applicability window enforces, and not a description valid to arbitrarily low temperature. That is the referee's closing sentence and it is now the paper's own position; we have restructured the treatment of the expression around it.</w:t>
      </w:r>
      <w:r>
        <w:t xml:space="preserve"/>
      </w:r>
      <w:r>
        <w:t xml:space="preserve"/>
      </w:r>
      <w:r>
        <w:t xml:space="preserve"/>
      </w:r>
      <w:r>
        <w:t xml:space="preserve"/>
      </w:r>
      <w:r>
        <w:t xml:space="preserve"/>
      </w:r>
      <w:r>
        <w:t xml:space="preserve"/>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w:t>
      </w:r>
      <w:r>
        <w:t xml:space="preserve"> </w:t>
      </w:r>
      <w:r>
        <w:t xml:space="preserve">comparison that motivated the choice, in which the alternative carrying an explicit</w:t>
      </w:r>
      <w:r>
        <w:t xml:space="preserve"> </w:t>
      </w:r>
      <w:r>
        <w:t xml:space="preserve">temperature-dependent critical field reached 0.352 dex against 0.260 dex for the adopted</w:t>
      </w:r>
      <w:r>
        <w:t xml:space="preserve"> </w:t>
      </w:r>
      <w:r>
        <w:t xml:space="preserve">form, and we now report that comparison as an empirical trade rather than a physical</w:t>
      </w:r>
      <w:r>
        <w:t xml:space="preserve"> </w:t>
      </w:r>
      <w:r>
        <w:t xml:space="preserve">justification. For completeness we should note that we motivate the expression from the</w:t>
      </w:r>
      <w:r>
        <w:t xml:space="preserve"> </w:t>
      </w:r>
      <w:r>
        <w:t xml:space="preserve">reduced-scale logic of the Kramer and pinning-force descriptions rather than from Ginzburg-Landau</w:t>
      </w:r>
      <w:r>
        <w:t xml:space="preserve"> </w:t>
      </w:r>
      <w:r>
        <w:t xml:space="preserve">theory, which Section II.C now states with those forms given as Eq. (3). The referee’s objection</w:t>
      </w:r>
      <w:r>
        <w:t xml:space="preserve"> </w:t>
      </w:r>
      <w:r>
        <w:t xml:space="preserve">holds either way, since a reduced-distance power law is an expansion near the critical scale</w:t>
      </w:r>
      <w:r>
        <w:t xml:space="preserve"> </w:t>
      </w:r>
      <w:r>
        <w:t xml:space="preserve">whatever motivates it, and we do not read the fitted exponent as a pinning-mechanism exponent.</w:t>
      </w:r>
    </w:p>
    <w:p>
      <w:pPr>
        <w:pStyle w:val="BodyText"/>
      </w:pPr>
      <w:r>
        <w:t xml:space="preserve">We also quantify the cost the referee anticipated. Assumption 1 of Section III.F reports that where a paper's critical scale was held fixed across measurement temperatures, the fitted field exponent drifts systematically with temperature. Across the series holding one scale over three or more temperatures the median absolute rank correlation between exponent and temperature is 0.80. That figure has moved since the deposited version and we give both: as first deposited there were 18 such series with a median of 0.70, rising to 0.80 in the nine sampled at four or more temperatures, and after the withdrawals described below there are 13 and 6, both at 0.80. The effect is unchanged in direction and slightly larger. A series is one source paper, one sample and one held scale, which is what makes the scale held by construction. We withdraw the worked example we gave, for two reasons. Its source, Physica C 469 (2009) 590, prints its field axis in kilo-oersted and the extraction recorded the bare numbers as tesla; corrected, the measured span falls from 0.53 to 0.053 of the assigned scale, all eight of its fits fail the 0.3 applicability bound, and they are withdrawn. Independently, the exponent is not monotone over the window we quoted: it falls from 1.25 at 2 K to 0.82 at 10 K before rising to 12.14 at 35 K, a rank correlation of 0.79 rather than the near-unity our phrasing implied. The sentence described a rise that does not happen over the first third of its own range, and we would have had to correct it whatever became of the unit. In its place, with a caveat we state rather than leave to be found: the clearest surviving case is the Ba(Fe,Co)2As2 single crystal of Materials Today Physics 27 (2022) 100783, scale held at 4.5 T, whose exponent rises from 0.26 to 0.86 across nine temperatures from 4.2 to 18 K with a rank correlation of 1.00. Exactly two series in the surviving cohort clear our filters and both come from that paper, the other a polycrystal record we have since identified as a copy of this one and withdrawn. This record is itself graded weak in our audit, sitting 1.3 to 1.7 times above a retrace of its own figure with a wrong tail, so we offer it as the best surviving illustration and not as a clean one. Over that range the exponent measures the misspecification rather than the pinning physics. The same assumption states the two further departures the referee identifies, the exponential or stretched-exponential low-temperature behaviour from thermal activation of vortices and the change of dominant pinning regime with field and temperature, which together mean a single exponent per axis describes an average over regimes rather than one mechanism.</w:t>
      </w:r>
      <w:r>
        <w:t xml:space="preserve"/>
      </w:r>
      <w:r>
        <w:t xml:space="preserve"/>
      </w:r>
      <w:r>
        <w:t xml:space="preserve"/>
      </w:r>
      <w:r>
        <w:t/>
      </w:r>
      <w:r/>
      <w:r/>
      <w:r/>
      <w:r/>
      <w:r/>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Our applicability window does not handle two things the referee's objection exposes, and rather than report the affected targets as predictions we now refuse them. The window bounds reduced temperature only from above, so it does not exclude the low-temperature regime at all, and our own worked example runs to 2 K while the dispatch reports at 4.2 K. And it requires reduced field above 0.3, which most of the dispatch grid did not meet. A per-point gate on each half of the window removed 1054 targets below the reduced-field bound and 93 at or above the reduced-temperature bound, leaving 163 emitted targets over 84 compounds, all at a reduced field of 0.3226. We should be exact about that bound. Eq. (1) admits a curve to the fit on the width of its measured field interval, not on where a single point sits, so the two are not the same test; we apply the stricter reading to what we emit and say so. Assumption 1 now states both plainly, and Section III.E carries the second as a labelled limitation ahead of any dispatched value rather than after it.</w:t>
      </w:r>
      <w:r>
        <w:t xml:space="preserve"/>
      </w:r>
      <w:r>
        <w:t xml:space="preserve"/>
      </w:r>
      <w:r>
        <w:t xml:space="preserve"/>
      </w:r>
      <w:r>
        <w:t xml:space="preserve"/>
      </w:r>
      <w:r>
        <w:t xml:space="preserve"/>
      </w:r>
      <w:r>
        <w:t/>
      </w:r>
      <w:r/>
      <w:r/>
      <w:r/>
      <w:r/>
      <w:r>
        <w:t xml:space="preserve"/>
      </w:r>
      <w:r>
        <w:t xml:space="preserve"/>
      </w:r>
      <w:r>
        <w:t xml:space="preserve"/>
      </w:r>
      <w:r>
        <w:t xml:space="preserve"/>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w:t>
      </w:r>
      <w:r>
        <w:t xml:space="preserve"> </w:t>
      </w:r>
      <w:r>
        <w:t xml:space="preserve">that upper critical fields in anisotropic superconductors are orientation-dependent, that</w:t>
      </w:r>
      <w:r>
        <w:t xml:space="preserve"> </w:t>
      </w:r>
      <w:r>
        <w:t xml:space="preserve">for Fe(Te,Se) the reported values differ by more than a factor of two between the two</w:t>
      </w:r>
      <w:r>
        <w:t xml:space="preserve"> </w:t>
      </w:r>
      <w:r>
        <w:t xml:space="preserve">principal orientations, and that orientation is captured as free text for 26 records but is</w:t>
      </w:r>
      <w:r>
        <w:t xml:space="preserve"> </w:t>
      </w:r>
      <w:r>
        <w:t xml:space="preserve">not propagated into the fits while several of the reference anchors are orientation</w:t>
      </w:r>
      <w:r>
        <w:t xml:space="preserve"> </w:t>
      </w:r>
      <w:r>
        <w:t xml:space="preserve">resolved. The anchors and the measurements are therefore not guaranteed to describe the same field</w:t>
      </w:r>
      <w:r>
        <w:t xml:space="preserve"> </w:t>
      </w:r>
      <w:r>
        <w:t xml:space="preserve">configuration, and Section III.F repeats this among the field-axis caveats. On current direction</w:t>
      </w:r>
      <w:r>
        <w:t xml:space="preserve"> </w:t>
      </w:r>
      <w:r>
        <w:t xml:space="preserve">we have to concede rather than answer: the extraction does not record the current direction</w:t>
      </w:r>
      <w:r>
        <w:t xml:space="preserve"> </w:t>
      </w:r>
      <w:r>
        <w:t xml:space="preserve">relative to the crystal axes, so we cannot condition on it, and for the anisotropic families that</w:t>
      </w:r>
      <w:r>
        <w:t xml:space="preserve"> </w:t>
      </w:r>
      <w:r>
        <w:t xml:space="preserve">is a real limitation of the dataset rather than of the model.</w:t>
      </w:r>
    </w:p>
    <w:p>
      <w:pPr>
        <w:pStyle w:val="BodyText"/>
      </w:pPr>
      <w:r>
        <w:t>On MgB2 the referee's observation and our diagnostic agree, and after repairing the anchor table they agree more strongly than we first reported. Sample form now explains 4% of the within-family variance in this class rather than 12%, on 13 physical samples, against 81% for the iron chalcogenides on five, and corrected for the upward bias this statistic carries at small sample size the MgB2-class value is negative: the separation between sample forms here is smaller than the grouping produces by chance. Section III.A states that this is consistent with the two-band character of MgB2 and its documented sensitivity to production route, both acting through variables a sample-form label does not capture. We concede the test itself, separately from the result. Sample form is very nearly a relabelling of source paper in this corpus: one of the 29 contributing papers carried more than one sample form before the repair and none of the 20 does after it. Under a null that shuffles the form label between papers, the only null that respects that structure, the MgB2-class cell admits three distinct labellings and can never return a p below 0.33 however clean the separation, and the other two families admit four and ten. The diagnostic therefore cannot establish the regime distinction it is used to draw, and Section III.A now reports the regime labels as the rule the predictor follows rather than as a tested finding. What would settle it is source papers reporting several sample forms of one compound, which our corpus does not contain; we name that as the specific data requirement. Separately, and this is our error rather than a limit of the literature: 26 of the 96 anchor rows behind this diagnostic held values contradicting their source figures and are withdrawn, and 15 more carried a scale error on the current or field axis and are corrected. The audit that found them is deposited with the analysis.</w:t>
      </w:r>
      <w:r/>
      <w:r/>
      <w:r/>
      <w:r/>
      <w:r/>
      <w:r/>
      <w:r/>
      <w:r/>
      <w:r/>
      <w:r/>
      <w:r/>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At 1 T against a 50 T upper critical field the reduced field is 0.02, so the field term of our expression has barely engaged, and what Figure 5 was showing was close to a self-field quantity. The referee is correct, and this turned out to be more than a matter of presentation. Section III.E now states it explicitly and cites Talantsev and Tallon, whose result the referee raises, as reference [42]. We report the family median at 4.2 K and 5 T, one of the two grid points that survive the refusal gates, which is a reduced field of 0.3226 rather than the near-self-field point the referee identified. The low-field targets the objection bears on are refused rather than reported.</w:t>
      </w:r>
      <w:r>
        <w:t xml:space="preserve"/>
      </w:r>
      <w:r>
        <w:t xml:space="preserve"/>
      </w:r>
      <w:r>
        <w:t xml:space="preserve"/>
      </w:r>
      <w:r>
        <w:t xml:space="preserve"/>
      </w:r>
      <w:r>
        <w:t xml:space="preserve"/>
      </w:r>
      <w:r>
        <w:t xml:space="preserve"/>
      </w:r>
      <w:r>
        <w:t xml:space="preserve"/>
      </w:r>
      <w:r>
        <w:t/>
      </w:r>
      <w:r/>
      <w:r/>
      <w:r/>
      <w:r/>
      <w:r/>
      <w:r/>
    </w:p>
    <w:p>
      <w:pPr>
        <w:pStyle w:val="BodyText"/>
      </w:pPr>
      <w:r>
        <w:t xml:space="preserve">The referee's suggestion and the next criticism are connected. If the self-field critical current is set mainly by the London penetration depth and depends only weakly on doping, sample shape and production route, then predictions evaluated near self-field should cluster, which is the narrow spread the referee questions below. We have adopted the suggestion. Figure 5 is redrawn against reduced field over the window across which the exponent is validated, rather than against absolute field to 10 T, where the reduced field reaches only about 0.2. Redrawing it changed a claim. The three fields at which the dispatch grid is evaluated all fall in the low-reduced-field corner, and plotted across the validated range the envelopes are not parallel: the iron chalcogenide and iron pnictide curves cross at a reduced field of 0.58, above which the 122-type envelope is the higher of the two, by 0.69 dex at a reduced field of 0.9. Section III.E previously said the family ordering was unchanged at every evaluated field. That remains true of the three evaluated fields, and the text now says so in those terms and reports the crossing alongside it. The screening claim is now limited to low reduced field. The crossing follows from the fitted field exponents and the critical-field anchors, the two quantities Section III.F qualifies, so we report it to bound the screening claim and not as a prediction that the 122-type family overtakes the 11-type in high field. We would not have seen this without the referee's suggestion.</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 explanation is structural. Section III.E now reports it, and this revision's reduced-field gate has narrowed what there is to report: only the MgB2 class still dispatches, and the iron chalcogenide and iron pnictide 122-type dispatches are refused in full. A count needs correcting first. The dispatch emits at two grid points, not one: 4.2 K and 5 T, where 86 records cover 84 compounds, and 20 K and 5 T, where 77 cover 75. Both clear this revision's gates, at reduced temperatures of 0.10 to 0.70 against the 0.7 bound, the upper end reached at the 20 K point and a reduced field of 0.3226 against the 0.3 bound. Section III.E and an earlier version of this letter both said one grid point; the assertion behind that wording checks that a single field is emitted, which is true, and we read it as a single grid point, which it is not. At 4.2 K and 5 T the 86 records span 0.0085 dex, 1.4% of the 0.60 dex bootstrap interval there; at 20 K and 5 T the 77 records span 0.254 dex. At 20 K the explanation we gave holds: the conditioning fixes every parameter of the expression, the compound-specific inputs are the critical-field anchor and the transition temperature, and the prediction regresses on the temperature term with a slope of 1.21 and an R squared of 0.996, recovering the family exponent of 1.14. At 4.2 K it cannot enter, and this is the part we had not seen. The model is anchored at a reference point whose temperature is 4.2 K at a reference point and its temperature term is the difference between log10(1 - T/Tc) and the same quantity at that reference, whose temperature is 4.2 K. That difference is therefore identically zero for every candidate whatever its transition temperature, and across 59 distinct anchors from 8.9 to 41.4 K the largest value the term takes is exactly zero. Every dispatched record also carries the same 15.5 T parent anchor, so the field term is one shared number. The prediction there is a single family-level constant, 4.980 in log10 Jc, the family's critical-current anchor of 5.324 displaced by 0.344 dex. The referee's reading is right and the figure supports it more strongly than we claimed. The 0.0085 dex is not a spread between compounds: all 86 records have identical model inputs and differ only in their draw from one bootstrap stream over a pool of 18 fits. Resampling that pool 84 times independently returns a span of 0.0092 dex with a standard deviation of 0.0016, of which the observed value is an ordinary draw. It is evidence that the predictor is constant at that point and evidence of nothing else, and we no longer offer it as a measured quantity. A compound-resolved spread would need a dispatch grid that does not evaluate at the anchor's own reference temperature, which the present grid does.</w:t>
      </w:r>
      <w:r>
        <w:t xml:space="preserve"/>
      </w:r>
      <w:r>
        <w:t xml:space="preserve"/>
      </w:r>
      <w:r>
        <w:t xml:space="preserve"/>
      </w:r>
      <w:r>
        <w:t/>
      </w:r>
      <w:r/>
      <w:r/>
      <w:r/>
      <w:r/>
      <w:r/>
      <w:r/>
      <w:r/>
      <w:r/>
      <w:r/>
      <w:r/>
      <w:r/>
      <w:r/>
    </w:p>
    <w:p>
      <w:pPr>
        <w:pStyle w:val="BodyText"/>
      </w:pPr>
      <w:r>
        <w:t>On precision, we have adopted the referee's correction and no longer carry a third digit. The width itself has changed. The 0.388 dex the referee read was the median over the predictions emitted before this revision's reduced-field gate; over the 163 predictions that survive our refusal gates the median full width is 0.61 dex, a factor of about 4.1, and 0.60 dex at the 4.2 K grid point. We should also say what that width is made of. On the three records carrying an exact critical-field anchor it is 0.398 dex; on the 83 carrying a parent anchor it is 0.602. The difference is a deterministic plus or minus 20 percent perturbation envelope on the parent anchor rather than bootstrap spread, so about a third of the quoted width is not sampling uncertainty. At the upper perturbation that envelope evaluates the model at a reduced field of 0.269, below the 0.3 applicability bound this revision introduced, which we flag as a defect in the envelope rather than defend. Fitted errors and exponents are still given to three figures where they are compared across families, since rounding to two would collapse distinctions the applicability table turns on, and we have removed the third digit wherever it carried no comparison. We have also adopted the suggested gloss, giving the width as a factor in the critical current rather than only in dex: it is a factor of about 4.1, and Table S2 carries the same conversion for dex generally.</w:t>
      </w:r>
      <w:r/>
      <w:r>
        <w:t xml:space="preserve"/>
      </w:r>
      <w:r>
        <w:t xml:space="preserve"/>
      </w:r>
      <w:r>
        <w:t xml:space="preserve"/>
      </w:r>
      <w:r>
        <w:t xml:space="preserve"/>
      </w:r>
      <w:r>
        <w:t xml:space="preserve"/>
      </w:r>
      <w:r>
        <w:t xml:space="preserve"/>
      </w:r>
      <w:r>
        <w:t/>
      </w:r>
      <w:r/>
      <w:r>
        <w:t/>
      </w:r>
      <w:r>
        <w:t xml:space="preserve"/>
      </w:r>
      <w:r>
        <w:t xml:space="preserve"/>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Section II.A now states that the Elsevier and Springer interfaces supplied the retrieval and screening corpus, that all 18 source papers behind the temperature-axis cohort are arXiv preprints, and that the field-axis cohort additionally includes nine records digitized from National High Magnetic Field Laboratory datasets. The data are not limited to those two sources, and our earlier text implied otherwise, which we regret. We also state plainly that the retrieval is candidate-driven rather than exhaustive, so the corpus does not span all published literature and the coverage is biased toward the venues queried. All source identifiers are enumerated in the deposit.</w:t>
      </w:r>
      <w:r>
        <w:t xml:space="preserve"/>
      </w:r>
      <w:r>
        <w:t xml:space="preserve"/>
      </w:r>
      <w:r>
        <w:t xml:space="preserve"/>
      </w:r>
      <w:r>
        <w:t/>
      </w:r>
      <w:r/>
      <w:r>
        <w:t/>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Table I of Section II.A now gives the full ladder in one place: 934 articles screened, 50 contributing fitted curves, 35 distinct compound labels, 3303 extracted critical-current points, 257 temperature-axis fits, 52 field-axis fits from 12 source papers, and 96 per-paper anchors behind Figure 3, of which the 70 carrying no withdrawal are the cohort the figure now draws. We accept the objection and have separated the screening corpus from the evidence base for any fitted quantity. The counts for contributing papers, compounds and extracted points are lower than in the previous revision because eleven papers were withdrawn and their provenance rows had not been removed with them; the reasons are set out below. The figure of 50 now appears first in the main text rather than in the Supplemental Material, and the abstract leads with the smaller numbers rather than with 934. The referee is also right that the figure and the tables appear to disagree, and we should have labelled the difference. The markers in Figure 3 are per physical sample, one per source paper and specimen with multiple isotherms of the same specimen averaged into a single record, while the tables count per-curve fits, so the two are different objects. The caption now gives both numbers, the 56 of the 96 anchors falling in the three panels shown and the 37 markers they collapse to, and we accept that the panels are overplotted enough that counting the markers by eye could not have given the right figure.</w:t>
      </w:r>
      <w:r>
        <w:t xml:space="preserve"/>
      </w:r>
      <w:r>
        <w:t/>
      </w:r>
      <w:r/>
      <w:r/>
      <w:r/>
      <w:r/>
      <w:r/>
      <w:r/>
      <w:r/>
      <w:r>
        <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w:r>
      <w:r/>
      <w:r>
        <w:t/>
      </w:r>
      <w:r>
        <w:t xml:space="preserve"/>
      </w:r>
      <w:r>
        <w:t xml:space="preserve"/>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and labelling them in dex is what made 10.10 read as ten orders of magnitude in current density. This is corrected throughout. The cohorts were mismatched too: the larger error came from the nine substructure families of an earlier version of this analysis and the smaller from the five carrying populated sample-form cells. Matching them removes that defect but not a worse one we found on re-examination: in both versions the predictor for a held-out family was built from a pool containing that family's own fits, so neither was a statement about generalization. Under leave-one-substructure-out we can report no fold improvement at all, and give the errors instead. On the fits passing physicality the mean absolute error in the exponent is 1.19 without conditioning and 0.55 with it; across the seven families carrying a descriptor it is 12.3 and 14.9, which is conditioning doing worse than not conditioning. We withdraw the 1.07, 2.24 and 1.83 an earlier version of this reply quoted, because they repeat the defect they were introduced to replace. The sample-form scope is undefined for the MgB2 class, since once the cuprate families are gated out no other family contributes a bulk or wire fit, so 2.24 and 1.83 divide a four-family numerator by a three-family denominator, which is the mismatched-cohort error we identify above as the reason the 23-fold was wrong. Matched over the families the predictor can score they are 2.17 and 2.11; they were also the lowest of four ways of forming the conditional prediction, and the lowest is not the same one on every cohort. Nor is the protocol stable at this scope: on the 52 field-axis fits surviving the anchor repairs and the fitting protocol there are four families and four folds, the unconditioned stage is a two-parameter fit on three training points in each, and removing any single family moves the ratio between 0.74 and 550. The objection is conceded more completely than our first reply conceded it. It is not that 23 was too large. It is that on a corpus of this size the benefit of conditioning cannot be separated from the noise of holding a family out, and we report the two errors and the family count rather than their quotient. The referee is further correct that the cuprates dominate the residual: Section 1 of the Supplemental Material reports 59% of the residual mass against 43% of the cohort, and three cuprate substructures reach the imposed regression ceiling because their measured field windows lie far below the critical field. Every exponent entering the ratio inherits the field-scale qualification described below. The same test found the mismatched-cohort error a second time: the 26.8% anchor-count reduction in Section III.B compared a three-compound one-anchor value against a four-compound three-anchor one, and the matched pair, 1.267 to 0.694, gives 45.2%, which is the figure we now carry.</w:t>
      </w:r>
      <w:r>
        <w:t xml:space="preserve"/>
      </w:r>
      <w:r>
        <w:t xml:space="preserve"/>
      </w:r>
      <w:r>
        <w:t xml:space="preserve"/>
      </w:r>
      <w:r>
        <w:t xml:space="preserve"/>
      </w:r>
      <w:r>
        <w:t xml:space="preserve"/>
      </w:r>
      <w:r>
        <w:t/>
      </w:r>
      <w:r>
        <w:t xml:space="preserve"/>
      </w:r>
      <w:r>
        <w:t xml:space="preserve"/>
      </w:r>
      <w:r>
        <w:t xml:space="preserve"/>
      </w:r>
      <w:r>
        <w:t/>
      </w:r>
      <w:r/>
      <w:r>
        <w:t xml:space="preserve"/>
      </w:r>
      <w:r>
        <w:t xml:space="preserve"/>
      </w:r>
      <w:r>
        <w:t xml:space="preserve"/>
      </w:r>
      <w:r>
        <w:t xml:space="preserve"/>
      </w:r>
      <w:r>
        <w:t/>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r/>
    </w:p>
    <w:p>
      <w:pPr>
        <w:pStyle w:val="BodyText"/>
      </w:pPr>
      <w:r>
        <w:t>The conditioning claim no longer rests on this ratio at all, and we have to be careful about what we move it onto. An earlier version of this reply rested it on the variance-decomposition diagnostic. That will not do, for the reason conceded above: sample form is very nearly a relabelling of source paper, so under the only null that respects that structure the iron chalcogenide cell cannot reach a probability below 0.25, the 122-type cell below 0.10, and the MgB2-class cell returns 1 whatever its separation. We also said there that the 96 per-paper anchor groups behind it were unchanged by the magnetic-field unit repair, which was true of that repair and has since been overtaken: 26 of those 96 rows held values contradicting their source figures and are withdrawn, and 4 more carried a scale error and are corrected. The claim rests on the temperature axis, and the evidence is the permutation test reported below: with source papers as the unit and the substructure label shuffled between them, the family accounts for a rising fraction of the between-paper variance in the temperature exponent as the anchors are corrected, while on the field axis it accounts for essentially none. Neither the ratio the referee questioned nor the sample-form diagnostic carries the claim. We had also described it as the one result that improved under every correction; the audit section below withdraws that description and gives the full history. It is also why Table III records the field axis as not validated at family level and reports no verdict for it.</w:t>
      </w:r>
      <w:r/>
      <w:r/>
      <w:r/>
      <w:r/>
      <w:r/>
      <w:r/>
      <w:r/>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The data-layer limitations of Section III.F now record that the framework has not been validated on the deployed conductor materials, that REBCO in particular does not obey our expression over the ranges of interest, and that the cuprates enter the work two ways, five cuprate papers in the fitted cohort and four out-of-corpus cuprates as the external validation set, where they exhibit measurement-window saturation. We concede the point and state it as a limit on the work rather than as a gap to be filled later. We add the referee's point that these materials have critical fields higher than can be directly measured and a much stronger field-angle dependence, which means that extending the framework to them is not a matter of adding data. It would require a functional form appropriate to their pinning behaviour and an orientation-resolved treatment that our current extraction does not support.</w:t>
      </w:r>
      <w:r>
        <w:t xml:space="preserve"/>
      </w:r>
      <w:r>
        <w:t xml:space="preserve"/>
      </w:r>
      <w:r>
        <w:t xml:space="preserve"/>
      </w:r>
      <w:r>
        <w:t xml:space="preserve"/>
      </w:r>
      <w:r>
        <w:t xml:space="preserve"/>
      </w:r>
      <w:r>
        <w:t/>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as a caveat added to</w:t>
      </w:r>
      <w:r>
        <w:t xml:space="preserve"> </w:t>
      </w:r>
      <w:r>
        <w:t xml:space="preserve">it. The abstract now says that the framework emits family-scope envelopes together with</w:t>
      </w:r>
      <w:r>
        <w:t xml:space="preserve"> </w:t>
      </w:r>
      <w:r>
        <w:t xml:space="preserve">an explicit refusal decision, and that within a family the envelope is a single curve shared</w:t>
      </w:r>
      <w:r>
        <w:t xml:space="preserve"> </w:t>
      </w:r>
      <w:r>
        <w:t xml:space="preserve">by all member candidates. Section III.E demonstrates it with the counts given above,</w:t>
      </w:r>
      <w:r>
        <w:t xml:space="preserve"> </w:t>
      </w:r>
      <w:r>
        <w:t xml:space="preserve">Assumption 4 of Section III.F states it as a bound on inferential scope, and the caption of</w:t>
      </w:r>
      <w:r>
        <w:t xml:space="preserve"> </w:t>
      </w:r>
      <w:r>
        <w:t>Figure 5 repeats it. We have removed the phrasing that could be read as a ranking of 183 candidate compounds, and</w:t>
      </w:r>
      <w:r>
        <w:t xml:space="preserve"> </w:t>
      </w:r>
      <w:r>
        <w:t xml:space="preserve">we say directly that such a reading is available from a quick look at a candidate table but</w:t>
      </w:r>
      <w:r>
        <w:t xml:space="preserve"> </w:t>
      </w:r>
      <w:r>
        <w:t xml:space="preserve">is not what the method does.</w:t>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The earlier text invited that reading, and we have corrected it. There is one</w:t>
      </w:r>
      <w:r>
        <w:t xml:space="preserve"> </w:t>
      </w:r>
      <w:r>
        <w:t xml:space="preserve">model and three prediction scopes over the same fitted exponents. Section II.D now carries a</w:t>
      </w:r>
      <w:r>
        <w:t xml:space="preserve"> </w:t>
      </w:r>
      <w:r>
        <w:t xml:space="preserve">short paragraph headed</w:t>
      </w:r>
      <w:r>
        <w:t xml:space="preserve"> </w:t>
      </w:r>
      <w:r>
        <w:rPr>
          <w:iCs/>
          <w:i/>
        </w:rPr>
        <w:t xml:space="preserve">Three scopes, not three models</w:t>
      </w:r>
      <w:r>
        <w:t xml:space="preserve"> </w:t>
      </w:r>
      <w:r>
        <w:t xml:space="preserve">which states this directly. Stage 1</w:t>
      </w:r>
      <w:r>
        <w:t xml:space="preserve"> </w:t>
      </w:r>
      <w:r>
        <w:t xml:space="preserve">regresses the exponent against a compositional descriptor and is used for rank signal and</w:t>
      </w:r>
      <w:r>
        <w:t xml:space="preserve"> </w:t>
      </w:r>
      <w:r>
        <w:t xml:space="preserve">substructure classification, not as a final predictor. Stage 2 uses the median exponent</w:t>
      </w:r>
      <w:r>
        <w:t xml:space="preserve"> </w:t>
      </w:r>
      <w:r>
        <w:t xml:space="preserve">within a cell defined by substructure and sample form, and is selected when the candidate’s</w:t>
      </w:r>
      <w:r>
        <w:t xml:space="preserve"> </w:t>
      </w:r>
      <w:r>
        <w:t xml:space="preserve">sample form is known and that cell is populated. Stage 3 uses the substructure-level median</w:t>
      </w:r>
      <w:r>
        <w:t xml:space="preserve"> </w:t>
      </w:r>
      <w:r>
        <w:t xml:space="preserve">with the within-family interquartile range retained as uncertainty, and is selected when the</w:t>
      </w:r>
      <w:r>
        <w:t xml:space="preserve"> </w:t>
      </w:r>
      <w:r>
        <w:t xml:space="preserve">sample form is unknown or the cell is too sparse. The variance-decomposition diagnostic</w:t>
      </w:r>
      <w:r>
        <w:t xml:space="preserve"> </w:t>
      </w:r>
      <w:r>
        <w:t xml:space="preserve">decides, family by family, whether Stage 2 is justified at all. What differs between the</w:t>
      </w:r>
      <w:r>
        <w:t xml:space="preserve"> </w:t>
      </w:r>
      <w:r>
        <w:t xml:space="preserve">three is the scope over which the same quantities are aggregated, not the class of model.</w:t>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We have written it out as a numbered procedure in</w:t>
      </w:r>
      <w:r>
        <w:t xml:space="preserve"> </w:t>
      </w:r>
      <w:r>
        <w:t xml:space="preserve">Section II.D so that a reader need not reconstruct it. For a candidate with no critical-current</w:t>
      </w:r>
      <w:r>
        <w:t xml:space="preserve"> </w:t>
      </w:r>
      <w:r>
        <w:t xml:space="preserve">measurements: assign the substructure family from stoichiometry and crystal system, refusing</w:t>
      </w:r>
      <w:r>
        <w:t xml:space="preserve"> </w:t>
      </w:r>
      <w:r>
        <w:t xml:space="preserve">if the family is unpopulated or the classification is ambiguous; obtain the transition</w:t>
      </w:r>
      <w:r>
        <w:t xml:space="preserve"> </w:t>
      </w:r>
      <w:r>
        <w:t xml:space="preserve">temperature anchor, and the critical field anchor if a field-axis prediction is requested,</w:t>
      </w:r>
      <w:r>
        <w:t xml:space="preserve"> </w:t>
      </w:r>
      <w:r>
        <w:t>refusing that target if the required anchor is unavailable; check that at least three anchor measurements are available for the candidate;</w:t>
      </w:r>
      <w:r/>
      <w:r>
        <w:t xml:space="preserve"> read the variance-decomposition regime for that</w:t>
      </w:r>
      <w:r>
        <w:t xml:space="preserve"> </w:t>
      </w:r>
      <w:r>
        <w:t xml:space="preserve">family to select Stage 2 or Stage 3; take the median parameters from the selected cell;</w:t>
      </w:r>
      <w:r>
        <w:t xml:space="preserve"> </w:t>
      </w:r>
      <w:r>
        <w:t xml:space="preserve">evaluate the expression at the requested temperature and field and propagate uncertainty by</w:t>
      </w:r>
      <w:r>
        <w:t xml:space="preserve"> </w:t>
      </w:r>
      <w:r>
        <w:t xml:space="preserve">quadrature over the three fitted terms; and apply the remaining gates, refusing with a reason code if any</w:t>
      </w:r>
      <w:r>
        <w:t xml:space="preserve"> </w:t>
      </w:r>
      <w:r>
        <w:t xml:space="preserve">fails. We close the procedure by noting that the parameter-taking and evaluation steps use</w:t>
      </w:r>
      <w:r>
        <w:t xml:space="preserve"> </w:t>
      </w:r>
      <w:r>
        <w:t xml:space="preserve">family-level quantities only, which is the structural fact underlying our decision to</w:t>
      </w:r>
      <w:r>
        <w:t xml:space="preserve"> </w:t>
      </w:r>
      <w:r>
        <w:t xml:space="preserve">withhold per-compound rankings.</w:t>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We now name the model rather than leaving it to be inferred. Section III.A states that the Stage 1 regression is a univariate ordinary least</w:t>
      </w:r>
      <w:r>
        <w:t xml:space="preserve"> </w:t>
      </w:r>
      <w:r>
        <w:t>squares fit on the mean maximum Pauling electronegativity, evaluated across seven substructure families with leave-one-substructure-out validation.</w:t>
      </w:r>
      <w:r/>
      <w:r>
        <w:t xml:space="preserve"> An earlier version of this reply reported the descriptor's rank correlation as a Spearman coefficient of 0.635 with a 95% confidence interval from 0.061 to 0.948. That is withdrawn in Section III.A: it was computed on a nine-family version of the descriptor table and on the mean field exponent, where this stage regresses the median, and on the seven families that remain no interval can be estimated tightly enough to be worth quoting. What we report instead is the quantity this stage was validated on, its rank-position error, which is 1.00 with six of the seven families placed within one position. That is why Stage 1 is retained for ranking and classification rather than for magnitude.</w:t>
      </w:r>
      <w:r/>
      <w:r/>
      <w:r/>
      <w:r/>
      <w:r/>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together with the intercept and the dex convention. A</w:t>
      </w:r>
      <w:r>
        <w:t xml:space="preserve"> </w:t>
      </w:r>
      <w:r>
        <w:t xml:space="preserve">scaling exponent is the fitted power to which the reduced distance from a critical scale is</w:t>
      </w:r>
      <w:r>
        <w:t xml:space="preserve"> </w:t>
      </w:r>
      <w:r>
        <w:t xml:space="preserve">raised, and it is dimensionless. The referee’s question also exposed a second problem, which we have now separated out. The manuscript previously used one symbol for the field exponent while the</w:t>
      </w:r>
      <w:r>
        <w:t xml:space="preserve"> </w:t>
      </w:r>
      <w:r>
        <w:t xml:space="preserve">analysis realized it against two different definitions of the critical scale. Section II.C now carries a paragraph headed</w:t>
      </w:r>
      <w:r>
        <w:t xml:space="preserve"> </w:t>
      </w:r>
      <w:r>
        <w:rPr>
          <w:iCs/>
          <w:i/>
        </w:rPr>
        <w:t xml:space="preserve">Two implementations of the field-axis critical</w:t>
      </w:r>
      <w:r>
        <w:rPr>
          <w:iCs/>
          <w:i/>
        </w:rPr>
        <w:t xml:space="preserve"> </w:t>
      </w:r>
      <w:r>
        <w:rPr>
          <w:iCs/>
          <w:i/>
        </w:rPr>
        <w:t xml:space="preserve">scale</w:t>
      </w:r>
      <w:r>
        <w:t>. The two are identical for the 61 of 159 fits that fall back to the literature default. For the 98 fits where a paper-derived value was resolved, that value is a median factor of 6.4 smaller.</w:t>
      </w:r>
      <w:r/>
      <w:r/>
      <w:r/>
      <w:r>
        <w:t xml:space="preserve"> Every result in Section III is labelled with the implementation that</w:t>
      </w:r>
      <w:r>
        <w:t xml:space="preserve"> </w:t>
      </w:r>
      <w:r>
        <w:t xml:space="preserve">produced it.</w:t>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The runtime workflow is now six stages rather than five. Following the referee's arrows showed that a stage was missing from the architecture, not only a line: between extraction and fitting the workflow resolves the transition temperature and the critical field for each fitted curve, and that stage was not shown at all. It is where the defects reported below occur. The critical-scale resolution stage is now shown explicitly with its provenance tiers, and the caption specifies labelled arrows carrying the information passed between stages. The figure has been redrawn to that specification: a vertical six-stage flow in which every arrow is labelled with what it carries, and the critical-scale resolution stage is highlighted. The refusal branch leaves the dispatch stage explicitly, so that refusal reads as an output of the predictor rather than as an omission.</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pPr>
        <w:pStyle w:val="BodyText"/>
      </w:pPr>
      <w:r>
        <w:t xml:space="preserve">We report these because they matter to the results, and because a referee would reasonably</w:t>
      </w:r>
      <w:r>
        <w:t xml:space="preserve"> </w:t>
      </w:r>
      <w:r>
        <w:t xml:space="preserve">ask why several numbers have moved.</w:t>
      </w:r>
    </w:p>
    <w:p>
      <w:pPr>
        <w:pStyle w:val="BodyText"/>
      </w:pPr>
      <w:r>
        <w:t xml:space="preserve">Tracing Referee A's two observations led to a retrospective audit of the critical field scale, reported in Section III.F and in Section 13 of the Supplemental Material. Sixteen papers from the field-axis cohort were read independently by two vision-language models of a later generation than the pair used for extraction, each prompted separately and each told that "no such data in this paper" is a correct answer. For eight of the sixteen, both models reported that the paper contains no plot of critical field against temperature, while the pipeline held extracted values for all eight, in each case from a figure showing something else. Across the cohort the assigned scale barely exceeds the largest field measured on the curve it anchors: the median ratio of measured maximum to assigned scale is 0.88, and 11 of the 52 curves admitted by the stated fitting protocol sit above 0.9, against 0.80 and 15 of 94 on the cohort as published under the same rule, so the exposure rises rather than falls once the anchors are repaired. That is how a scale read from a curve endpoint behaves, not how an independently measured critical field behaves. Two further defects compound this. The resolution routine returned the nearest series endpoint rather than extrapolating, underestimating the scale by a median factor of 6.7 across the 38 fits it affects. And five papers carried a magnetic field unit error in which kilo-oersted had been recorded as tesla, since corrected in the deposited data.</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t xml:space="preserve"/>
      </w:r>
      <w:r>
        <w:t xml:space="preserve"/>
      </w:r>
      <w:r>
        <w:t xml:space="preserve"/>
      </w:r>
      <w:r>
        <w:t/>
      </w:r>
      <w:r/>
      <w:r>
        <w:t xml:space="preserve"/>
      </w:r>
      <w:r>
        <w:t xml:space="preserve"/>
      </w:r>
      <w:r>
        <w:t xml:space="preserve"/>
      </w:r>
    </w:p>
    <w:p>
      <w:pPr>
        <w:pStyle w:val="BodyText"/>
      </w:pPr>
      <w:r>
        <w:t xml:space="preserve">We attempted a rebuild against a properly temperature-resolved critical scale and could not complete it. The reason lies in the literature rather than in our pipeline. A caption-scoped screen over the 2594 papers in the archive finds 137 carrying captions for both measurements, 117 of them in the three dispatched families. Whether a candidate is usable turns on its measured field span, which can only be settled by reading the numbers, so 29 candidates prioritized by family need were read independently by two models and span-tested. Four MgB2-class and two iron chalcogenide papers pass, one of the latter borderline, and no iron pnictide 122-type paper passes, in every case because the paper reports no critical field of its own. Only the MgB2 class clears the three-paper threshold set before the search, and the 122-type family, which needed the evidence most, yielded nothing. Requiring a shared compound and shared authorship, cross-paper pairing of a critical-current paper with a separate critical-field paper returns no valid pairs. The literature we could reach does not supply the pairing we need. It does not follow that the remaining candidates contain none, and the deposited screen lists every candidate so the search can be continued rather than repeated. We report this as a finding rather than an obstacle: it is the same comparability principle the paper argues for, applied one level down.</w:t>
      </w:r>
      <w:r>
        <w:t xml:space="preserve"/>
      </w:r>
      <w:r>
        <w:t/>
      </w:r>
      <w:r/>
      <w:r/>
      <w:r/>
      <w:r>
        <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A further audit of the anchors and the fitting protocol</w:t>
      </w:r>
      <w:r/>
      <w:r/>
      <w:r/>
      <w:r/>
      <w:r/>
      <w:r/>
      <w:r/>
      <w:r/>
      <w:r/>
      <w:r/>
      <w:r/>
      <w:r/>
      <w:r/>
      <w:r/>
      <w:r/>
      <w:r/>
      <w:r/>
      <w:r/>
      <w:r/>
      <w:r/>
      <w:r/>
      <w:r/>
      <w:r/>
      <w:r/>
      <w:r/>
      <w:r/>
    </w:p>
    <w:p>
      <w:pPr>
        <w:pStyle w:val="BodyText"/>
      </w:pPr>
      <w:r>
        <w:t>The audit of the critical-field scale described above did not stop where we first reported it. Continuing it turned up four further defects, three of them in places we had not looked. We report all four, and what they do to the results.</w:t>
      </w:r>
      <w:r/>
      <w:r/>
      <w:r/>
      <w:r/>
      <w:r/>
      <w:r/>
      <w:r/>
      <w:r/>
      <w:r/>
      <w:r/>
      <w:r/>
      <w:r/>
      <w:r/>
      <w:r/>
      <w:r/>
      <w:r/>
      <w:r/>
      <w:r/>
      <w:r/>
      <w:r/>
      <w:r/>
      <w:r/>
      <w:r/>
      <w:r/>
      <w:r/>
      <w:r/>
    </w:p>
    <w:p>
      <w:pPr>
        <w:pStyle w:val="BodyText"/>
      </w:pPr>
      <w:r>
        <w:t>Eleven papers were withdrawn and one table was not updated. Between 1 and 3 September we withdrew eleven papers from the temperature-axis cohort after opening their figures. The defects were not marginal. Three record a current axis in A/m2 as A/cm2, which puts the values above the depairing limit. Two record the minor ticks of a logarithmic field axis as field values, so the field range is a few gauss. Six carry isotherms that are exact arithmetic ramps, in one case with successive isotherms separated by the same constant step, which no measurement produces. One interleaves two series three orders of magnitude apart inside a single isotherm. Each withdrawal is recorded with its citation, the figure checked, and the reason.</w:t>
      </w:r>
      <w:r/>
      <w:r/>
      <w:r/>
      <w:r/>
      <w:r/>
      <w:r/>
      <w:r/>
      <w:r/>
      <w:r/>
      <w:r/>
      <w:r/>
      <w:r/>
      <w:r/>
      <w:r/>
      <w:r/>
      <w:r/>
      <w:r/>
      <w:r/>
      <w:r/>
      <w:r/>
      <w:r/>
      <w:r/>
      <w:r/>
      <w:r/>
      <w:r/>
      <w:r/>
    </w:p>
    <w:p>
      <w:pPr>
        <w:pStyle w:val="BodyText"/>
      </w:pPr>
      <w:r>
        <w:t>The temperature-axis fit count in Table I reflects those withdrawals. The provenance table does not, because withdrawing a paper never removed its provenance row, and three of Table I's counts are computed from that table. The result is that Table I is internally inconsistent: its 260 temperature-axis fits exclude the withdrawn papers and its 62 contributing papers include them. The corrected counts are 50 papers, 35 compound labels and 3303 extracted points. The extracted-point count was overstated by 843, a fifth of the figure we printed.</w:t>
      </w:r>
      <w:r/>
      <w:r/>
      <w:r/>
      <w:r/>
      <w:r/>
      <w:r/>
      <w:r/>
      <w:r/>
      <w:r/>
      <w:r/>
      <w:r/>
      <w:r/>
      <w:r/>
      <w:r/>
      <w:r/>
      <w:r/>
      <w:r/>
      <w:r/>
      <w:r/>
      <w:r/>
      <w:r/>
      <w:r/>
      <w:r/>
      <w:r/>
      <w:r/>
      <w:r/>
    </w:p>
    <w:p>
      <w:pPr>
        <w:pStyle w:val="BodyText"/>
      </w:pPr>
      <w:r>
        <w:t>The critical-temperature anchor is a lookup table, not a paper-reported value. We described the critical-field scale as read from figures. The critical-temperature scale is not read at all. The routine that fits the temperature-axis exponent carries a dictionary keyed on the idealised compound string, with per-substructure defaults for anything absent from it, so every Ba(FeAs)2 record takes 38.0 K and every unlisted 1111 record takes 50.0 K. The deposit labels these values paper-reported.</w:t>
      </w:r>
      <w:r/>
      <w:r/>
      <w:r/>
      <w:r/>
      <w:r/>
      <w:r/>
      <w:r/>
      <w:r/>
      <w:r/>
      <w:r/>
      <w:r/>
      <w:r/>
      <w:r/>
      <w:r/>
      <w:r/>
      <w:r/>
      <w:r/>
      <w:r/>
      <w:r/>
      <w:r/>
      <w:r/>
      <w:r/>
      <w:r/>
      <w:r/>
      <w:r/>
      <w:r/>
    </w:p>
    <w:p>
      <w:pPr>
        <w:pStyle w:val="BodyText"/>
      </w:pPr>
      <w:r>
        <w:t>Opening the papers, six of the eighteen on the temperature axis are wrong by 5 K or more against the value the paper prints for the sample whose figure was extracted, the largest by 25.9 K. On the field-axis cohort, of the nineteen papers whose source document we hold, three anchors match what their paper prints, three match one of several samples, eight disagree with every printed value, two papers print no critical temperature for the sample they measure, and three cannot be checked. Four of the eight disagreements are a literature value for the family rather than for the sample.</w:t>
      </w:r>
      <w:r/>
      <w:r/>
      <w:r/>
      <w:r/>
      <w:r/>
      <w:r/>
      <w:r/>
      <w:r/>
      <w:r/>
      <w:r/>
      <w:r/>
      <w:r/>
      <w:r/>
      <w:r/>
      <w:r/>
      <w:r/>
      <w:r/>
      <w:r/>
      <w:r/>
      <w:r/>
      <w:r/>
      <w:r/>
      <w:r/>
      <w:r/>
      <w:r/>
      <w:r/>
    </w:p>
    <w:p>
      <w:pPr>
        <w:pStyle w:val="BodyText"/>
      </w:pPr>
      <w:r>
        <w:t>We have replaced every anchor we could check with the value the paper prints, with the sentence quoted in the deposit for each. On the temperature axis this costs no fits and adds points to 39 of them, because three papers had a lower anchor than their true one.</w:t>
      </w:r>
      <w:r/>
      <w:r/>
      <w:r/>
      <w:r/>
      <w:r/>
      <w:r/>
      <w:r/>
      <w:r/>
      <w:r/>
      <w:r/>
      <w:r/>
      <w:r/>
      <w:r/>
      <w:r/>
      <w:r/>
      <w:r/>
      <w:r/>
      <w:r/>
      <w:r/>
      <w:r/>
      <w:r/>
      <w:r/>
      <w:r/>
      <w:r/>
      <w:r/>
      <w:r/>
    </w:p>
    <w:p>
      <w:pPr>
        <w:pStyle w:val="BodyText"/>
      </w:pPr>
      <w:r>
        <w:t>The applicability window was applied to one axis and not the other. The window we state has two conditions, a reduced temperature below 0.7 and a measured field span above 0.3 of the critical field. The temperature condition is imposed on the temperature axis, by cutting the fit window against the anchor, and it was not imposed on the field-axis cohort at all. Nineteen of the 94 field-axis fits sat above the stated bound, the highest at 0.955. It is now applied to both.</w:t>
      </w:r>
      <w:r/>
      <w:r/>
      <w:r/>
      <w:r/>
      <w:r/>
      <w:r/>
      <w:r/>
      <w:r/>
      <w:r/>
      <w:r/>
      <w:r/>
      <w:r/>
      <w:r/>
      <w:r/>
      <w:r/>
      <w:r/>
      <w:r/>
      <w:r/>
      <w:r/>
      <w:r/>
      <w:r/>
      <w:r/>
      <w:r/>
      <w:r/>
      <w:r/>
      <w:r/>
    </w:p>
    <w:p>
      <w:pPr>
        <w:pStyle w:val="BodyText"/>
      </w:pPr>
      <w:r>
        <w:t>The field condition contains nothing independent of its own scale. The condition compares the measured span with the critical field, and the same critical field selects the points the fit uses and forms the abscissa the exponent is fitted against. Written out, the condition says that the critical field is at most 3.3 times the measured span, and nothing about the sample enters it. It is satisfied by a small scale, which is the direction in which a scale read from a curve endpoint is wrong. We considered replacing it with a condition on the range of the abscissa, and did not, because that quantity is gamed by the same choice of scale: on our own cohort every fit that fails it passes on unchanged data at a smaller scale. There is no scale-free criterion available here, and we now state the condition for what it is rather than implying it tests the data.</w:t>
      </w:r>
      <w:r/>
      <w:r/>
      <w:r/>
      <w:r/>
      <w:r/>
      <w:r/>
      <w:r/>
      <w:r/>
      <w:r/>
      <w:r/>
      <w:r/>
      <w:r/>
      <w:r/>
      <w:r/>
      <w:r/>
      <w:r/>
      <w:r/>
      <w:r/>
      <w:r/>
      <w:r/>
      <w:r/>
      <w:r/>
      <w:r/>
      <w:r/>
      <w:r/>
      <w:r/>
    </w:p>
    <w:p>
      <w:pPr>
        <w:pStyle w:val="BodyText"/>
      </w:pPr>
      <w:r>
        <w:t>The extracted curves carry less structure than the figures they come from. For eight papers we hold both an extraction and an independent pixel trace of the same printed figure. Put on the same isotherms, the same field window and the same code, the extraction carries four to twenty times less interaction between the temperature and field dependences than the figure does, in eight of the nine comparisons. The ninth is the one extraction in that set digitised by hand, and it carries slightly more. Measured against the precision each source is written at, eight of the extracted surfaces are as close to a product of one temperature curve and one field curve as their recorded precision can show, and no traced figure is.</w:t>
      </w:r>
      <w:r/>
      <w:r/>
      <w:r/>
      <w:r/>
      <w:r/>
      <w:r/>
      <w:r/>
      <w:r/>
      <w:r/>
      <w:r/>
      <w:r/>
      <w:r/>
      <w:r/>
      <w:r/>
      <w:r/>
      <w:r/>
      <w:r/>
      <w:r/>
      <w:r/>
      <w:r/>
      <w:r/>
      <w:r/>
      <w:r/>
      <w:r/>
      <w:r/>
      <w:r/>
    </w:p>
    <w:p>
      <w:pPr>
        <w:pStyle w:val="BodyText"/>
      </w:pPr>
      <w:r>
        <w:t>This matters for the exponent that the field axis reports. Fitted on a surface with no interaction, the field exponent returns the field curve that was swept rather than a property of the sample. It is consistent with the fact that the extraction route predicts that exponent completely: hand digitisations give 0.003 to 0.023 and machine extractions 0.120 to 2.409, with no overlap.</w:t>
      </w:r>
      <w:r/>
      <w:r/>
      <w:r/>
      <w:r/>
      <w:r/>
      <w:r/>
      <w:r/>
      <w:r/>
      <w:r/>
      <w:r/>
      <w:r/>
      <w:r/>
      <w:r/>
      <w:r/>
      <w:r/>
      <w:r/>
      <w:r/>
      <w:r/>
      <w:r/>
      <w:r/>
      <w:r/>
      <w:r/>
      <w:r/>
      <w:r/>
      <w:r/>
      <w:r/>
    </w:p>
    <w:p>
      <w:pPr>
        <w:pStyle w:val="BodyText"/>
      </w:pPr>
      <w:r>
        <w:t>The deposited prediction file did not reproduce from its own generator, and now does. Two things stood between them. For the records of one paper the generator committed to a wire sample-form cell while the released file used the substructure aggregate, which is what Sec. II.D prescribes for a family in the minor-separation regime; the rule had been applied to the file and never written into the code, and the code now reads the regime from the deposited variance decomposition. That cell should not have been used in any case: it holds eight fits from two papers, and the records it predicts come from one of them, so a quarter of the pool is the thing being predicted, which is the relabelling problem we concede above. Second, the dispatch table was never the output of one script. Three steps run after the predictor, applying our record withdrawals and the two clauses of the applicability window, and only the first was named anywhere, so a reader who ran it alone got 2151 rows against our 2097 and two of the five refusal codes. One script now runs all four in order and compares the result with the released file cell by cell. Regenerating moved two printed numbers, both toward the claim they support: the spread at 4.2 K and 5 T falls from 0.0098 dex to 0.0085 and at 20 K and 5 T from 0.259 to 0.254. The 163 emitted predictions, the 84 compounds and all five refusal counts are unchanged.</w:t>
      </w:r>
      <w:r/>
      <w:r/>
      <w:r/>
      <w:r/>
      <w:r/>
      <w:r/>
      <w:r/>
      <w:r/>
      <w:r/>
      <w:r/>
      <w:r/>
      <w:r/>
      <w:r/>
      <w:r/>
      <w:r/>
      <w:r/>
      <w:r/>
      <w:r/>
      <w:r/>
      <w:r/>
      <w:r/>
      <w:r/>
      <w:r/>
      <w:r/>
      <w:r/>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Matched on the seventeen papers common to both versions, the fraction of between-paper variance the family accounts for is 0.44 before the anchor correction and 0.52 after, with permutation probabilities of 0.016 and 0.007. We reported that earlier as a result that strengthened under every correction, and we withdraw that description, because the full history does not support it and a referee reading the deposit would find so. Three things belong beside the number. Before the eleven paper withdrawals there is no separation at all: the fraction is 0.107 with a probability of 0.355, and our own note on those withdrawals records that the screen which selected them is not independent of the exponent and acted in opposite directions in different families, so most of the rise cannot be read as evidence. At the step that removed two papers whose extractions could not be reproduced, the fraction rose while the probability rose with it, from 0.012 to 0.016, so the two halves of the result did not move together. And the exponents do not reproduce from their own figures: of the fourteen we could score against a pixel trace, none does, at a median ratio of 0.42. On the exponents rebuilt from those traces, deposited with the paper, the separation survives at 0.359 with a probability of 0.037 while the applicability result does not. What we can defend is narrower than what we first wrote and it is tested harder. The obvious objection to a family label is that it is compound identity with fewer labels, and that can be settled by enumeration rather than sampling: the eight compounds admit 966 distinct ways of forming three families, four reach the observed separation, and the exact probability is 0.0041, or 0.0083 with one observation per compound. One alternative grouping separates the exponent slightly better than the substructure label does, and Sec. III.C says so.</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report the field axis as not separating the families rather than omitting it. A final pass over every reported quantity found five more defects, all corrected. The 30% adoption threshold our universality claim was compared against had no construction anywhere in our analysis, and the quantity its own defining sentence named as the benchmark was twenty times smaller; it is withdrawn, and Sec. III.D now tests the scaling claim directly against coordinates chosen to carry no physics. Stage 3's error of 0.84 was described as a leave-one-substructure-out result and is not one: the held-out family predicted itself, the same defect we concede above for Stages 1 and 2 and from the same run. Under genuine withholding it is 0.816. The propagated uncertainty of 0.29 dex used a temperature-exponent scatter that does not reproduce from our own deposit and predates the anchor repair; on the repaired exponent it is 0.27 dex, and the accompanying statement that a correlation between the terms would make it a lower bound is wrong for this functional form, so we claim no bound. Table II's holdout margin does not separate Form 3 from Form 2 once the three forms are scored on identical rows and the same compounds, so Sec. II.C adopts Form 3 for the separability the rest of the paper requires and reports the comparison as it falls. And the per-family parameters behind Figure 5 could not be regenerated from the deposit at all, because the module producing them fitted them to the predictor's own output; they are now the family median exponents over the fitted cohorts, and the figure moves with them.</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 labels, 3303 extracted points, 257 temperature-axis fits, and 52 field-axis fits from 12 source papers. The candidate compound count does not move, because the candidate side does not depend on the anchors. The anchor count does. Twenty-six of the 96 per-paper anchor rows carry a withdrawal, so Figure 3 and the diagnostic of Sec. III.A are now computed on the remaining 70 and both cohorts are reported. An earlier version of this reply said the anchor count did not move, and that was wrong.</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Several values have been corrected as a result. The MgB2-class compound leave-one-out error is 0.753 rather than 0.772, and the universal scaling reduction is 13.0% on the standard-deviation scale rather than 14.1%. The Stage 3 error is 0.816 rather than 0.84 and is no longer called a leave-one-substructure-out result. The external anchor-count errors are labelled in dex rather than as dimensionless exponent errors, the same unit repair described above applied where we had missed it. The propagated uncertainty is 0.27 dex rather than 0.29. The fifteen MgB2 temperature fits are described as the deposited file has them, six resting on three points rather than one, and the fit we reported with a root-mean-square residual of 6.3 has one of 6.3 times ten to the minus fourteen. The candidate cohort comprises 183 distinct compounds, and the 233 evaluated records and 212 retained after the calibration screen are record counts in which one compound may appear more than once. The Supplemental Material now carries the disposition of all 94 field-axis fits individually, which an earlier version of this letter said it did. An artificial intelligence use disclosure has been added in accordance with APS policy, naming the models used at each stage, how they were directed, and how their output was verified, including the cross-model agreement gate that produced the audit above.</w:t>
      </w:r>
      <w:r>
        <w:t xml:space="preserve"/>
      </w:r>
      <w:r>
        <w:t xml:space="preserve"/>
      </w:r>
      <w:r>
        <w:t xml:space="preserve"/>
      </w:r>
      <w:r>
        <w:t/>
      </w:r>
      <w:r/>
      <w:r/>
      <w:r/>
      <w:r>
        <w:t xml:space="preserve"/>
      </w:r>
      <w:r>
        <w:t xml:space="preserve"/>
      </w:r>
      <w:r>
        <w:t xml:space="preserve"/>
      </w:r>
      <w:r>
        <w:t xml:space="preserve"/>
      </w:r>
      <w:r>
        <w:t xml:space="preserve"/>
      </w:r>
      <w:r>
        <w:t xml:space="preserve"/>
      </w:r>
      <w:r>
        <w:t xml:space="preserve"/>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