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Times New Roman" w:cs="Times New Roman" w:eastAsia="Times New Roman" w:hAnsi="Times New Roman"/>
          <w:b/>
          <w:bCs/>
          <w:sz w:val="32"/>
          <w:szCs w:val="32"/>
        </w:rPr>
        <w:t xml:space="preserve">Substructure-Conditional Critical Current Density Prediction from Heterogeneous Superconductor Literature</w:t>
      </w:r>
    </w:p>
    <w:p>
      <w:pPr>
        <w:spacing w:after="180" w:line="240"/>
        <w:jc w:val="center"/>
      </w:pPr>
      <w:r>
        <w:rPr>
          <w:rFonts w:ascii="Times New Roman" w:cs="Times New Roman" w:eastAsia="Times New Roman" w:hAnsi="Times New Roman"/>
          <w:sz w:val="24"/>
          <w:szCs w:val="24"/>
        </w:rPr>
        <w:t xml:space="preserve">Prachet Poddar,</w:t>
      </w:r>
      <w:r>
        <w:rPr>
          <w:rFonts w:ascii="Times New Roman" w:cs="Times New Roman" w:eastAsia="Times New Roman" w:hAnsi="Times New Roman"/>
          <w:i w:val="false"/>
          <w:iCs w:val="false"/>
          <w:sz w:val="24"/>
          <w:szCs w:val="24"/>
          <w:vertAlign w:val="superscript"/>
        </w:rPr>
        <w:t xml:space="preserve">1</w:t>
      </w:r>
      <w:r>
        <w:rPr>
          <w:rFonts w:ascii="Times New Roman" w:cs="Times New Roman" w:eastAsia="Times New Roman" w:hAnsi="Times New Roman"/>
          <w:sz w:val="24"/>
          <w:szCs w:val="24"/>
        </w:rPr>
        <w:t xml:space="preserve"> Tahiya Chowdhury,</w:t>
      </w:r>
      <w:r>
        <w:rPr>
          <w:rFonts w:ascii="Times New Roman" w:cs="Times New Roman" w:eastAsia="Times New Roman" w:hAnsi="Times New Roman"/>
          <w:i w:val="false"/>
          <w:iCs w:val="false"/>
          <w:sz w:val="24"/>
          <w:szCs w:val="24"/>
          <w:vertAlign w:val="superscript"/>
        </w:rPr>
        <w:t xml:space="preserve">2</w:t>
      </w:r>
      <w:r>
        <w:rPr>
          <w:rFonts w:ascii="Times New Roman" w:cs="Times New Roman" w:eastAsia="Times New Roman" w:hAnsi="Times New Roman"/>
          <w:sz w:val="24"/>
          <w:szCs w:val="24"/>
        </w:rPr>
        <w:t xml:space="preserve"> and Md Shafayat Hossain</w:t>
      </w:r>
      <w:r>
        <w:rPr>
          <w:rFonts w:ascii="Times New Roman" w:cs="Times New Roman" w:eastAsia="Times New Roman" w:hAnsi="Times New Roman"/>
          <w:i w:val="false"/>
          <w:iCs w:val="false"/>
          <w:sz w:val="24"/>
          <w:szCs w:val="24"/>
          <w:vertAlign w:val="superscript"/>
        </w:rPr>
        <w:t xml:space="preserve">3,4,5,*</w:t>
      </w:r>
    </w:p>
    <w:p>
      <w:pPr>
        <w:spacing w:after="40" w:line="240"/>
        <w:jc w:val="center"/>
      </w:pPr>
      <w:r>
        <w:rPr>
          <w:rFonts w:ascii="Times New Roman" w:cs="Times New Roman" w:eastAsia="Times New Roman" w:hAnsi="Times New Roman"/>
          <w:i w:val="false"/>
          <w:iCs w:val="false"/>
          <w:sz w:val="22"/>
          <w:szCs w:val="22"/>
          <w:vertAlign w:val="superscript"/>
        </w:rPr>
        <w:t xml:space="preserve">1</w:t>
      </w:r>
      <w:r>
        <w:rPr>
          <w:rFonts w:ascii="Times New Roman" w:cs="Times New Roman" w:eastAsia="Times New Roman" w:hAnsi="Times New Roman"/>
          <w:i/>
          <w:iCs/>
          <w:sz w:val="22"/>
          <w:szCs w:val="22"/>
        </w:rPr>
        <w:t xml:space="preserve">Department of Physics, University of California, Los Angeles, California 90095, USA</w:t>
      </w:r>
    </w:p>
    <w:p>
      <w:pPr>
        <w:spacing w:after="40" w:line="240"/>
        <w:jc w:val="center"/>
      </w:pPr>
      <w:r>
        <w:rPr>
          <w:rFonts w:ascii="Times New Roman" w:cs="Times New Roman" w:eastAsia="Times New Roman" w:hAnsi="Times New Roman"/>
          <w:i w:val="false"/>
          <w:iCs w:val="false"/>
          <w:sz w:val="22"/>
          <w:szCs w:val="22"/>
          <w:vertAlign w:val="superscript"/>
        </w:rPr>
        <w:t xml:space="preserve">2</w:t>
      </w:r>
      <w:r>
        <w:rPr>
          <w:rFonts w:ascii="Times New Roman" w:cs="Times New Roman" w:eastAsia="Times New Roman" w:hAnsi="Times New Roman"/>
          <w:i/>
          <w:iCs/>
          <w:sz w:val="22"/>
          <w:szCs w:val="22"/>
        </w:rPr>
        <w:t xml:space="preserve">Department of Computer Science, Colby College, Waterville, Maine 04901, USA</w:t>
      </w:r>
    </w:p>
    <w:p>
      <w:pPr>
        <w:spacing w:after="40" w:line="240"/>
        <w:jc w:val="center"/>
      </w:pPr>
      <w:r>
        <w:rPr>
          <w:rFonts w:ascii="Times New Roman" w:cs="Times New Roman" w:eastAsia="Times New Roman" w:hAnsi="Times New Roman"/>
          <w:i w:val="false"/>
          <w:iCs w:val="false"/>
          <w:sz w:val="22"/>
          <w:szCs w:val="22"/>
          <w:vertAlign w:val="superscript"/>
        </w:rPr>
        <w:t xml:space="preserve">3</w:t>
      </w:r>
      <w:r>
        <w:rPr>
          <w:rFonts w:ascii="Times New Roman" w:cs="Times New Roman" w:eastAsia="Times New Roman" w:hAnsi="Times New Roman"/>
          <w:i/>
          <w:iCs/>
          <w:sz w:val="22"/>
          <w:szCs w:val="22"/>
        </w:rPr>
        <w:t xml:space="preserve">Department of Materials Science and Engineering, University of California, Los Angeles, California 90095, USA</w:t>
      </w:r>
    </w:p>
    <w:p>
      <w:pPr>
        <w:spacing w:after="40" w:line="240"/>
        <w:jc w:val="center"/>
      </w:pPr>
      <w:r>
        <w:rPr>
          <w:rFonts w:ascii="Times New Roman" w:cs="Times New Roman" w:eastAsia="Times New Roman" w:hAnsi="Times New Roman"/>
          <w:i w:val="false"/>
          <w:iCs w:val="false"/>
          <w:sz w:val="22"/>
          <w:szCs w:val="22"/>
          <w:vertAlign w:val="superscript"/>
        </w:rPr>
        <w:t xml:space="preserve">4</w:t>
      </w:r>
      <w:r>
        <w:rPr>
          <w:rFonts w:ascii="Times New Roman" w:cs="Times New Roman" w:eastAsia="Times New Roman" w:hAnsi="Times New Roman"/>
          <w:i/>
          <w:iCs/>
          <w:sz w:val="22"/>
          <w:szCs w:val="22"/>
        </w:rPr>
        <w:t xml:space="preserve">California NanoSystems Institute, University of California, Los Angeles, California 90095, USA</w:t>
      </w:r>
    </w:p>
    <w:p>
      <w:pPr>
        <w:spacing w:after="40" w:line="240"/>
        <w:jc w:val="center"/>
      </w:pPr>
      <w:r>
        <w:rPr>
          <w:rFonts w:ascii="Times New Roman" w:cs="Times New Roman" w:eastAsia="Times New Roman" w:hAnsi="Times New Roman"/>
          <w:i w:val="false"/>
          <w:iCs w:val="false"/>
          <w:sz w:val="22"/>
          <w:szCs w:val="22"/>
          <w:vertAlign w:val="superscript"/>
        </w:rPr>
        <w:t xml:space="preserve">5</w:t>
      </w:r>
      <w:r>
        <w:rPr>
          <w:rFonts w:ascii="Times New Roman" w:cs="Times New Roman" w:eastAsia="Times New Roman" w:hAnsi="Times New Roman"/>
          <w:i/>
          <w:iCs/>
          <w:sz w:val="22"/>
          <w:szCs w:val="22"/>
        </w:rPr>
        <w:t xml:space="preserve">Center for Quantum Science and Engineering, University of California, Los Angeles, California 90095, USA</w:t>
      </w:r>
    </w:p>
    <w:p>
      <w:pPr>
        <w:spacing w:after="240" w:before="120" w:line="240"/>
        <w:jc w:val="center"/>
      </w:pPr>
      <w:r>
        <w:rPr>
          <w:rFonts w:ascii="Times New Roman" w:cs="Times New Roman" w:eastAsia="Times New Roman" w:hAnsi="Times New Roman"/>
          <w:sz w:val="20"/>
          <w:szCs w:val="20"/>
        </w:rPr>
        <w:t xml:space="preserve">*Contact author: shossain@seas.ucla.edu</w:t>
      </w:r>
    </w:p>
    <w:p>
      <w:pPr>
        <w:spacing w:after="360" w:before="360" w:line="240"/>
        <w:ind w:left="720" w:right="720"/>
        <w:jc w:val="both"/>
      </w:pPr>
      <w:r>
        <w:rPr>
          <w:rFonts w:ascii="Times New Roman" w:cs="Times New Roman" w:eastAsia="Times New Roman" w:hAnsi="Times New Roman"/>
          <w:b/>
          <w:bCs/>
          <w:sz w:val="24"/>
          <w:szCs w:val="24"/>
        </w:rPr>
        <w:t xml:space="preserve">ABSTRACT.</w:t>
      </w:r>
      <w:r>
        <w:rPr>
          <w:rFonts w:ascii="Times New Roman" w:cs="Times New Roman" w:eastAsia="Times New Roman" w:hAnsi="Times New Roman"/>
          <w:sz w:val="24"/>
          <w:szCs w:val="24"/>
        </w:rPr>
        <w:t xml:space="preserve"> Many AI models in physics assume that measurements from different papers can be combined into a single training set. That assumption fails when the measured property depends on how each physical specimen was prepared and tested. Superconducting critical current density is one such case, and an important one: it sets the useful current range for superconducting wires, magnets, and devices, yet no general predictive framework exists for it. Reported values depend strongly on sample form, microstructure, temperature range, and magnetic-field range, so the regression target is ill-defined unless experimental context is preserved. We introduce a substructure- and sample-form-conditioned framework built from 50 papers that contribute fitted critical-current curves, covering 35 compound labels, which reduce to 27 distinct composition keys, and 3303 extracted data points, drawn from a screened retrieval corpus of 934 articles, and which retains the experimental context of each measured curve. A variance-decomposition diagnostic tests, family by family, whether sample form is a required conditioning variable, and assigns two distinct regimes across the studied families: on the repaired anchor cohort sample form explains 81% of the within-family variance in the critical-current anchor for iron chalcogenide 11-type materials, on five physical samples, 37% for iron pnictide 122-type on five, and 4% for MgB2-class on 13, against 37%, 49% and 12% on the anchors as deposited.</w:t>
      </w:r>
      <w:r>
        <w:rPr>
          <w:rFonts w:ascii="Times New Roman" w:cs="Times New Roman" w:eastAsia="Times New Roman" w:hAnsi="Times New Roman"/>
          <w:sz w:val="24"/>
          <w:szCs w:val="24"/>
        </w:rPr>
        <w:t/>
      </w:r>
      <w:r>
        <w:rPr>
          <w:rFonts w:ascii="Times New Roman" w:cs="Times New Roman" w:eastAsia="Times New Roman" w:hAnsi="Times New Roman"/>
          <w:sz w:val="24"/>
          <w:szCs w:val="24"/>
          <w:vertAlign w:val="subscript"/>
        </w:rPr>
        <w:t/>
      </w:r>
      <w:r>
        <w:rPr>
          <w:rFonts w:ascii="Times New Roman" w:cs="Times New Roman" w:eastAsia="Times New Roman" w:hAnsi="Times New Roman"/>
          <w:sz w:val="24"/>
          <w:szCs w:val="24"/>
        </w:rPr>
        <w:t> These regimes set the conditioning rule the predictor follows. Because sample form is very nearly a relabelling of source paper in this corpus, the separation between them is not established at any useful significance: the exact permutation probability cannot fall below 0.25 for the strongest of the three families and is identically 1 for the weakest. We state the measurement that would establish it.</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xml:space="preserve"> Universal reduced-variable scaling does not organize this corpus: normalizing temperature and field by their critical values reduces the within-bin standard deviation of log10 Jc by only 13.0%, a variance-scale reduction of 24.3%, the result is unchanged on the standard-deviation scale under a 35% perturbation of the estimated critical fields, and on a point-level rebuild of the same test the reduced coordinates carry no more structure than the same grid rotated to a random angle.</w:t>
      </w:r>
      <w:r>
        <w:rPr>
          <w:rFonts w:ascii="Times New Roman" w:cs="Times New Roman" w:eastAsia="Times New Roman" w:hAnsi="Times New Roman"/>
          <w:i w:val="false"/>
          <w:iCs w:val="false"/>
          <w:sz w:val="24"/>
          <w:szCs w:val="24"/>
          <w:vertAlign w:val="subscript"/>
        </w:rPr>
        <w:t xml:space="preserve"/>
      </w:r>
      <w:r>
        <w:rPr>
          <w:rFonts w:ascii="Times New Roman" w:cs="Times New Roman" w:eastAsia="Times New Roman" w:hAnsi="Times New Roman"/>
          <w:sz w:val="24"/>
          <w:szCs w:val="24"/>
        </w:rPr>
        <w:t xml:space="preserve"/>
      </w:r>
      <w:r>
        <w:rPr>
          <w:rFonts w:ascii="Times New Roman" w:cs="Times New Roman" w:eastAsia="Times New Roman" w:hAnsi="Times New Roman"/>
          <w:i/>
          <w:iCs/>
          <w:sz w:val="24"/>
          <w:szCs w:val="24"/>
        </w:rPr>
        <w:t xml:space="preserve"/>
      </w:r>
      <w:r>
        <w:rPr>
          <w:rFonts w:ascii="Times New Roman" w:cs="Times New Roman" w:eastAsia="Times New Roman" w:hAnsi="Times New Roman"/>
          <w:i w:val="false"/>
          <w:iCs w:val="false"/>
          <w:sz w:val="24"/>
          <w:szCs w:val="24"/>
          <w:vertAlign w:val="subscript"/>
        </w:rPr>
        <w:t xml:space="preserve"/>
      </w:r>
      <w:r>
        <w:rPr>
          <w:rFonts w:ascii="Times New Roman" w:cs="Times New Roman" w:eastAsia="Times New Roman" w:hAnsi="Times New Roman"/>
          <w:sz w:val="24"/>
          <w:szCs w:val="24"/>
        </w:rPr>
        <w:t xml:space="preserve"> The framework then emits family-scope critical-current envelopes with bootstrap uncertainty for three substructure families, together with an explicit refusal decision for every candidate and prediction target. We state what validation stands behind that scope, since it is not uniform. Three families clear the compound leave-one-out threshold on the temperature axis, and no family-level verdict is reported on the field axis, where the substructure label does not separate the exponent at all. The MgB2 class, which is the only family that emits at the current gate settings, is one of the three that dispatch and not one of the three that clear: it carries no fits in the temperature-axis cohort and so is not assessable on the axis where the test can be run. Within a family the emitted envelope is a single curve shared by all member candidates: the output is a scope decision and a family envelope, not a per-compound ranking, and we show that this is a structural property of the predictor rather than a conservative reading of a marginal signal. The same principle, establishing which measurements may be compared before comparing them, applies to any AI-for-physics problem in which the measured property depends strongly on preparation route, sample geometry, or measurement protocol.</w:t>
      </w:r>
    </w:p>
    <w:p>
      <w:pPr>
        <w:pStyle w:val="Heading1"/>
        <w:spacing w:after="240" w:before="480"/>
        <w:jc w:val="center"/>
      </w:pPr>
      <w:r>
        <w:rPr>
          <w:rFonts w:ascii="Times New Roman" w:cs="Times New Roman" w:eastAsia="Times New Roman" w:hAnsi="Times New Roman"/>
          <w:b/>
          <w:bCs/>
          <w:color w:val="000000"/>
          <w:sz w:val="24"/>
          <w:szCs w:val="24"/>
        </w:rPr>
        <w:t xml:space="preserve">I. INTRODUCTION</w:t>
      </w:r>
    </w:p>
    <w:p>
      <w:pPr>
        <w:spacing w:after="0" w:line="480"/>
        <w:ind w:firstLine="431"/>
        <w:jc w:val="both"/>
      </w:pPr>
      <w:r>
        <w:rPr>
          <w:rFonts w:ascii="Times New Roman" w:cs="Times New Roman" w:eastAsia="Times New Roman" w:hAnsi="Times New Roman"/>
          <w:sz w:val="24"/>
          <w:szCs w:val="24"/>
        </w:rPr>
        <w:t xml:space="preserve">Materials informatics has transformed the search for functional materials. Models trained on large databases of crystal structures and compositions have demonstrated that composition and structure carry enough signal to predict properties across broad materials families </w:t>
      </w:r>
      <w:r>
        <w:rPr>
          <w:rFonts w:ascii="Times New Roman" w:cs="Times New Roman" w:eastAsia="Times New Roman" w:hAnsi="Times New Roman"/>
          <w:sz w:val="24"/>
          <w:szCs w:val="24"/>
        </w:rPr>
        <w:t xml:space="preserve">[1, 2]</w:t>
      </w:r>
      <w:r>
        <w:rPr>
          <w:rFonts w:ascii="Times New Roman" w:cs="Times New Roman" w:eastAsia="Times New Roman" w:hAnsi="Times New Roman"/>
          <w:sz w:val="24"/>
          <w:szCs w:val="24"/>
        </w:rPr>
        <w:t xml:space="preserve">, accelerating discovery workflows that once depended entirely on physical synthesis and measurement. The infrastructure supporting this shift includes structural databases such as the Materials Project </w:t>
      </w:r>
      <w:r>
        <w:rPr>
          <w:rFonts w:ascii="Times New Roman" w:cs="Times New Roman" w:eastAsia="Times New Roman" w:hAnsi="Times New Roman"/>
          <w:sz w:val="24"/>
          <w:szCs w:val="24"/>
        </w:rPr>
        <w:t xml:space="preserve">[3]</w:t>
      </w:r>
      <w:r>
        <w:rPr>
          <w:rFonts w:ascii="Times New Roman" w:cs="Times New Roman" w:eastAsia="Times New Roman" w:hAnsi="Times New Roman"/>
          <w:sz w:val="24"/>
          <w:szCs w:val="24"/>
        </w:rPr>
        <w:t xml:space="preserve">, compositional descriptors such as MAGPIE (a set of element-property statistics that encodes composition as a fixed-length numerical vector </w:t>
      </w:r>
      <w:r>
        <w:rPr>
          <w:rFonts w:ascii="Times New Roman" w:cs="Times New Roman" w:eastAsia="Times New Roman" w:hAnsi="Times New Roman"/>
          <w:sz w:val="24"/>
          <w:szCs w:val="24"/>
        </w:rPr>
        <w:t xml:space="preserve">[4]</w:t>
      </w:r>
      <w:r>
        <w:rPr>
          <w:rFonts w:ascii="Times New Roman" w:cs="Times New Roman" w:eastAsia="Times New Roman" w:hAnsi="Times New Roman"/>
          <w:sz w:val="24"/>
          <w:szCs w:val="24"/>
        </w:rPr>
        <w:t xml:space="preserve">), curated superconductivity datasets such as SuperCon, and integrated resources such as 3DSC_MP </w:t>
      </w:r>
      <w:r>
        <w:rPr>
          <w:rFonts w:ascii="Times New Roman" w:cs="Times New Roman" w:eastAsia="Times New Roman" w:hAnsi="Times New Roman"/>
          <w:sz w:val="24"/>
          <w:szCs w:val="24"/>
        </w:rPr>
        <w:t xml:space="preserve">[5, 6]</w:t>
      </w:r>
      <w:r>
        <w:rPr>
          <w:rFonts w:ascii="Times New Roman" w:cs="Times New Roman" w:eastAsia="Times New Roman" w:hAnsi="Times New Roman"/>
          <w:sz w:val="24"/>
          <w:szCs w:val="24"/>
        </w:rPr>
        <w:t xml:space="preserve">. In superconductivity, this method has been particularly effective for predicting the transition temperature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Because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varies far less between samples of a compound than the critical current does, it can for most purposes be treated as a single scalar per compound and predicted directly from composition and crystal structure </w:t>
      </w:r>
      <w:r>
        <w:rPr>
          <w:rFonts w:ascii="Times New Roman" w:cs="Times New Roman" w:eastAsia="Times New Roman" w:hAnsi="Times New Roman"/>
          <w:sz w:val="24"/>
          <w:szCs w:val="24"/>
        </w:rPr>
        <w:t xml:space="preserve">[5, 7, 8]</w:t>
      </w:r>
      <w:r>
        <w:rPr>
          <w:rFonts w:ascii="Times New Roman" w:cs="Times New Roman" w:eastAsia="Times New Roman" w:hAnsi="Times New Roman"/>
          <w:sz w:val="24"/>
          <w:szCs w:val="24"/>
        </w:rPr>
        <w:t xml:space="preserve">. The success of AI for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however, obscures a harder class of problem. Many properties that govern practical device performance depend not only on chemical identity but on the specifics of how each specimen was prepared, measured, and tested. When published data are combined without regard to experimental context, the resulting training set can misrepresent the property, because a single compound may exhibit many different values, none of which is definitive. No established methodology exists for deciding which of those faces can be compared before regression is attempted.</w:t>
      </w:r>
    </w:p>
    <w:p>
      <w:pPr>
        <w:spacing w:after="0" w:line="480"/>
        <w:ind w:firstLine="431"/>
        <w:jc w:val="both"/>
      </w:pPr>
      <w:r>
        <w:rPr>
          <w:rFonts w:ascii="Times New Roman" w:cs="Times New Roman" w:eastAsia="Times New Roman" w:hAnsi="Times New Roman"/>
          <w:sz w:val="24"/>
          <w:szCs w:val="24"/>
        </w:rPr>
        <w:t xml:space="preserve">Critical current density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 determines the practical operating range of a superconductor. It defines how much current a superconductor can carry in wires, magnets, cables, and devices before dissipation begins </w:t>
      </w:r>
      <w:r>
        <w:rPr>
          <w:rFonts w:ascii="Times New Roman" w:cs="Times New Roman" w:eastAsia="Times New Roman" w:hAnsi="Times New Roman"/>
          <w:sz w:val="24"/>
          <w:szCs w:val="24"/>
        </w:rPr>
        <w:t xml:space="preserve">[9]</w:t>
      </w:r>
      <w:r>
        <w:rPr>
          <w:rFonts w:ascii="Times New Roman" w:cs="Times New Roman" w:eastAsia="Times New Roman" w:hAnsi="Times New Roman"/>
          <w:sz w:val="24"/>
          <w:szCs w:val="24"/>
        </w:rPr>
        <w:t xml:space="preserve">, and it sets the operating margins for fusion energy systems, MRI instruments, and high-field research magnets. Databases such as 3DSC_MP </w:t>
      </w:r>
      <w:r>
        <w:rPr>
          <w:rFonts w:ascii="Times New Roman" w:cs="Times New Roman" w:eastAsia="Times New Roman" w:hAnsi="Times New Roman"/>
          <w:sz w:val="24"/>
          <w:szCs w:val="24"/>
        </w:rPr>
        <w:t xml:space="preserve">[6]</w:t>
      </w:r>
      <w:r>
        <w:rPr>
          <w:rFonts w:ascii="Times New Roman" w:cs="Times New Roman" w:eastAsia="Times New Roman" w:hAnsi="Times New Roman"/>
          <w:sz w:val="24"/>
          <w:szCs w:val="24"/>
        </w:rPr>
        <w:t xml:space="preserve"> now list thousands of candidate superconducting compounds. Identifying which compounds merit investment in conductor development requires knowing their critical current density across a range of temperatures and fields. Without a predictive framework, each candidate requires physical synthesis and characterization, a bottleneck that materials informatics has bypassed for transition temperature but has not yet addressed for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 Unlike transition temperature, critical current density is not a single scalar per compound. It is a function of both temperature and magnetic field, and its values can span several orders of magnitude for the same chemical compound depending on how the sample was prepared. A single crystal, a polycrystal, a thin film, a tape, and a wire can give very different current densities for the same compound </w:t>
      </w:r>
      <w:r>
        <w:rPr>
          <w:rFonts w:ascii="Times New Roman" w:cs="Times New Roman" w:eastAsia="Times New Roman" w:hAnsi="Times New Roman"/>
          <w:sz w:val="24"/>
          <w:szCs w:val="24"/>
        </w:rPr>
        <w:t xml:space="preserve">[10]</w:t>
      </w:r>
      <w:r>
        <w:rPr>
          <w:rFonts w:ascii="Times New Roman" w:cs="Times New Roman" w:eastAsia="Times New Roman" w:hAnsi="Times New Roman"/>
          <w:sz w:val="24"/>
          <w:szCs w:val="24"/>
        </w:rPr>
        <w:t xml:space="preserve">. This behavior follows from the physics of vortex pinning, grain coupling, texture, film quality, and conductor architecture. Established frameworks such as the temperature-dependent upper critical field, Kramer extrapolation (a method for estimating the irreversibility field by linearly extrapolating a plot of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i w:val="false"/>
          <w:iCs w:val="false"/>
          <w:sz w:val="24"/>
          <w:szCs w:val="24"/>
          <w:vertAlign w:val="superscript"/>
        </w:rPr>
        <w:t xml:space="preserve">1/2</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perscript"/>
        </w:rPr>
        <w:t xml:space="preserve">1/4</w:t>
      </w:r>
      <w:r>
        <w:rPr>
          <w:rFonts w:ascii="Times New Roman" w:cs="Times New Roman" w:eastAsia="Times New Roman" w:hAnsi="Times New Roman"/>
          <w:sz w:val="24"/>
          <w:szCs w:val="24"/>
        </w:rPr>
        <w:t xml:space="preserve"> against field to zero current), pinning-force scaling, and vortex-matter theory already show that critical current density is shaped by both the material and the measurement context </w:t>
      </w:r>
      <w:r>
        <w:rPr>
          <w:rFonts w:ascii="Times New Roman" w:cs="Times New Roman" w:eastAsia="Times New Roman" w:hAnsi="Times New Roman"/>
          <w:sz w:val="24"/>
          <w:szCs w:val="24"/>
        </w:rPr>
        <w:t xml:space="preserve">[11–16]</w:t>
      </w:r>
      <w:r>
        <w:rPr>
          <w:rFonts w:ascii="Times New Roman" w:cs="Times New Roman" w:eastAsia="Times New Roman" w:hAnsi="Times New Roman"/>
          <w:sz w:val="24"/>
          <w:szCs w:val="24"/>
        </w:rPr>
        <w:t xml:space="preserve">. In other words, the compound name alone does not name a number. Until the experimental context is restored, there is no single value for a predictor to aim at.</w:t>
      </w:r>
    </w:p>
    <w:p>
      <w:pPr>
        <w:spacing w:after="0" w:line="480"/>
        <w:ind w:firstLine="431"/>
        <w:jc w:val="both"/>
      </w:pPr>
      <w:r>
        <w:rPr>
          <w:rFonts w:ascii="Times New Roman" w:cs="Times New Roman" w:eastAsia="Times New Roman" w:hAnsi="Times New Roman"/>
          <w:sz w:val="24"/>
          <w:szCs w:val="24"/>
        </w:rPr>
        <w:t xml:space="preserve">This creates a challenge that differs fundamentally from the standard AI-for-materials setup. In the standard setup, illustrated by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prediction </w:t>
      </w:r>
      <w:r>
        <w:rPr>
          <w:rFonts w:ascii="Times New Roman" w:cs="Times New Roman" w:eastAsia="Times New Roman" w:hAnsi="Times New Roman"/>
          <w:sz w:val="24"/>
          <w:szCs w:val="24"/>
        </w:rPr>
        <w:t xml:space="preserve">[5, 7, 8]</w:t>
      </w:r>
      <w:r>
        <w:rPr>
          <w:rFonts w:ascii="Times New Roman" w:cs="Times New Roman" w:eastAsia="Times New Roman" w:hAnsi="Times New Roman"/>
          <w:sz w:val="24"/>
          <w:szCs w:val="24"/>
        </w:rPr>
        <w:t xml:space="preserve">, the AI task is regression: given composition and structure, predict a target value from a pool of measurements that can be compared on equal footing. For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 a prior step is required: determining which measurements can be meaningfully compared before any regression is attempted. Vortex pinning, the trapping of magnetic flux lines by microstructural defects, depends on sample geometry, processing route, and field window as much as on chemical composition </w:t>
      </w:r>
      <w:r>
        <w:rPr>
          <w:rFonts w:ascii="Times New Roman" w:cs="Times New Roman" w:eastAsia="Times New Roman" w:hAnsi="Times New Roman"/>
          <w:sz w:val="24"/>
          <w:szCs w:val="24"/>
        </w:rPr>
        <w:t xml:space="preserve">[12, 13, 15, 16]</w:t>
      </w:r>
      <w:r>
        <w:rPr>
          <w:rFonts w:ascii="Times New Roman" w:cs="Times New Roman" w:eastAsia="Times New Roman" w:hAnsi="Times New Roman"/>
          <w:sz w:val="24"/>
          <w:szCs w:val="24"/>
        </w:rPr>
        <w:t>. Pooling data across sample forms and measurement windows therefore blends material physics with laboratory bookkeeping into a single column of numbers. A pooled dataset of this kind can look reassuringly large while quietly asking the model to learn a quantity that does not exist. The solution is not a larger model, but a prior question that can be answered with existing data: for each material family, which experimental variable must be held fixed before two measurements can be compared? Our central contribution is a variance-decomposition diagnostic that answers exactly this question. It converts the conditioning structure from an assumption made by the modeler into a question put to the literature, and in doing so it tells the model not only what to predict but also when to stay silent. Whether this literature can answer that question is itself a result of the work, and Section III.A reports that on this corpus it cannot, because sample form arrives one paper at a time.</w:t>
      </w:r>
    </w:p>
    <w:p>
      <w:pPr>
        <w:spacing w:after="0" w:line="480"/>
        <w:ind w:firstLine="431"/>
        <w:jc w:val="both"/>
      </w:pPr>
      <w:r>
        <w:rPr>
          <w:rFonts w:ascii="Times New Roman" w:cs="Times New Roman" w:eastAsia="Times New Roman" w:hAnsi="Times New Roman"/>
          <w:sz w:val="24"/>
          <w:szCs w:val="24"/>
        </w:rPr>
        <w:t xml:space="preserve">We apply this approach to type-II superconductors, where three families provide sufficient literature coverage to calibrate and validate the diagnostic. The three target families are iron chalcogenide 11-type (e.g., FeSe </w:t>
      </w:r>
      <w:r>
        <w:rPr>
          <w:rFonts w:ascii="Times New Roman" w:cs="Times New Roman" w:eastAsia="Times New Roman" w:hAnsi="Times New Roman"/>
          <w:sz w:val="24"/>
          <w:szCs w:val="24"/>
        </w:rPr>
        <w:t xml:space="preserve">[17]</w:t>
      </w:r>
      <w:r>
        <w:rPr>
          <w:rFonts w:ascii="Times New Roman" w:cs="Times New Roman" w:eastAsia="Times New Roman" w:hAnsi="Times New Roman"/>
          <w:sz w:val="24"/>
          <w:szCs w:val="24"/>
        </w:rPr>
        <w:t xml:space="preserve">), iron pnictide 122-type (e.g., BaFe</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As</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and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-class materials (e.g.,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itself and partially substituted variants such as Mg(B</w:t>
      </w:r>
      <w:r>
        <w:rPr>
          <w:rFonts w:ascii="Times New Roman" w:cs="Times New Roman" w:eastAsia="Times New Roman" w:hAnsi="Times New Roman"/>
          <w:i w:val="false"/>
          <w:iCs w:val="false"/>
          <w:sz w:val="24"/>
          <w:szCs w:val="24"/>
          <w:vertAlign w:val="subscript"/>
        </w:rPr>
        <w:t xml:space="preserve">1−x</w:t>
      </w:r>
      <w:r>
        <w:rPr>
          <w:rFonts w:ascii="Times New Roman" w:cs="Times New Roman" w:eastAsia="Times New Roman" w:hAnsi="Times New Roman"/>
          <w:sz w:val="24"/>
          <w:szCs w:val="24"/>
        </w:rPr>
        <w:t xml:space="preserve">C</w:t>
      </w:r>
      <w:r>
        <w:rPr>
          <w:rFonts w:ascii="Times New Roman" w:cs="Times New Roman" w:eastAsia="Times New Roman" w:hAnsi="Times New Roman"/>
          <w:i w:val="false"/>
          <w:iCs w:val="false"/>
          <w:sz w:val="24"/>
          <w:szCs w:val="24"/>
          <w:vertAlign w:val="subscript"/>
        </w:rPr>
        <w:t xml:space="preserve">x</w:t>
      </w:r>
      <w:r>
        <w:rPr>
          <w:rFonts w:ascii="Times New Roman" w:cs="Times New Roman" w:eastAsia="Times New Roman" w:hAnsi="Times New Roman"/>
          <w:sz w:val="24"/>
          <w:szCs w:val="24"/>
        </w:rPr>
        <w:t xml:space="preserve">)</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The broader validation set also includes iron pnictide 1111-type (e.g., LaFeAsO) and cuprate (copper-oxide-based) families (e.g., YBa</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Cu</w:t>
      </w:r>
      <w:r>
        <w:rPr>
          <w:rFonts w:ascii="Times New Roman" w:cs="Times New Roman" w:eastAsia="Times New Roman" w:hAnsi="Times New Roman"/>
          <w:i w:val="false"/>
          <w:iCs w:val="false"/>
          <w:sz w:val="24"/>
          <w:szCs w:val="24"/>
          <w:vertAlign w:val="subscript"/>
        </w:rPr>
        <w:t xml:space="preserve">3</w:t>
      </w:r>
      <w:r>
        <w:rPr>
          <w:rFonts w:ascii="Times New Roman" w:cs="Times New Roman" w:eastAsia="Times New Roman" w:hAnsi="Times New Roman"/>
          <w:sz w:val="24"/>
          <w:szCs w:val="24"/>
        </w:rPr>
        <w:t xml:space="preserve">O</w:t>
      </w:r>
      <w:r>
        <w:rPr>
          <w:rFonts w:ascii="Times New Roman" w:cs="Times New Roman" w:eastAsia="Times New Roman" w:hAnsi="Times New Roman"/>
          <w:i w:val="false"/>
          <w:iCs w:val="false"/>
          <w:sz w:val="24"/>
          <w:szCs w:val="24"/>
          <w:vertAlign w:val="subscript"/>
        </w:rPr>
        <w:t xml:space="preserve">7</w:t>
      </w:r>
      <w:r>
        <w:rPr>
          <w:rFonts w:ascii="Times New Roman" w:cs="Times New Roman" w:eastAsia="Times New Roman" w:hAnsi="Times New Roman"/>
          <w:sz w:val="24"/>
          <w:szCs w:val="24"/>
        </w:rPr>
        <w:t xml:space="preserve">), which anchor the historical landscape of high-temperature and conventional superconductivity </w:t>
      </w:r>
      <w:r>
        <w:rPr>
          <w:rFonts w:ascii="Times New Roman" w:cs="Times New Roman" w:eastAsia="Times New Roman" w:hAnsi="Times New Roman"/>
          <w:sz w:val="24"/>
          <w:szCs w:val="24"/>
        </w:rPr>
        <w:t xml:space="preserve">[18–22]</w:t>
      </w:r>
      <w:r>
        <w:rPr>
          <w:rFonts w:ascii="Times New Roman" w:cs="Times New Roman" w:eastAsia="Times New Roman" w:hAnsi="Times New Roman"/>
          <w:sz w:val="24"/>
          <w:szCs w:val="24"/>
        </w:rPr>
        <w:t xml:space="preserve">. Our goal across these families is concrete: to predict, from published literature alone, the field- and temperature-dependent critical current of compounds that have never been measured together, and to do so only where the data justify it.</w:t>
      </w:r>
    </w:p>
    <w:p>
      <w:pPr>
        <w:spacing w:after="0" w:line="480"/>
        <w:ind w:firstLine="431"/>
        <w:jc w:val="both"/>
      </w:pPr>
      <w:r>
        <w:rPr>
          <w:rFonts w:ascii="Times New Roman" w:cs="Times New Roman" w:eastAsia="Times New Roman" w:hAnsi="Times New Roman"/>
          <w:sz w:val="24"/>
          <w:szCs w:val="24"/>
        </w:rPr>
        <w:t xml:space="preserve">Our key finding is that a single cross-compound scaling law cannot organize critical-current prediction across the heterogeneous literature. Scaling by reduced temperature and reduced magnetic field reduces the within-bin standard deviation of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by only 13.0%, equivalently a variance-scale reduction of 24.3%. We set no numerical adoption threshold against those figures. The quantity that would define one, the gain from family-conditional aggregation, is measured on a different scale, as an out-of-sample error rather than a within-bin scatter, and it is not distinguishable from zero. Section III.D instead tests the scaling claim directly, against coordinates chosen to carry no physics. A family-conditional exponent model improves over a global-exponent model by only 0.009 dex in median holdout error, which is below bootstrap precision, so reduced-variable scaling adds no information beyond what substructure identity already provides. (One dex equals one decade on a base-10 logarithmic scale: a 1-dex error means the prediction differs from the true value by a factor of 10, and a 0.3-dex error corresponds to roughly a factor of 2.) The useful predictive scope is therefore set by substructure family and sample form. This repositions the role of AI here. The model does not pursue accuracy by pooling larger datasets. It first assesses where predictions are physically meaningful and predicts only in those contexts. The supporting experiment is a family-by-family variance-decomposition test, presented in Section III.A. Figure 1 summarizes the path from literature extraction to bounded prediction.</w:t>
      </w:r>
    </w:p>
    <w:p>
      <w:pPr>
        <w:spacing w:after="120" w:before="240"/>
        <w:jc w:val="center"/>
      </w:pPr>
      <w:r>
        <w:drawing>
          <wp:inline distT="0" distB="0" distL="0" distR="0">
            <wp:extent cx="5715000" cy="360947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609474"/>
                    </a:xfrm>
                    <a:prstGeom prst="rect">
                      <a:avLst/>
                    </a:prstGeom>
                  </pic:spPr>
                </pic:pic>
              </a:graphicData>
            </a:graphic>
          </wp:inline>
        </w:drawing>
      </w:r>
    </w:p>
    <w:p>
      <w:pPr>
        <w:spacing w:after="360" w:line="240"/>
        <w:jc w:val="both"/>
      </w:pPr>
      <w:r>
        <w:rPr>
          <w:rFonts w:ascii="Times New Roman" w:cs="Times New Roman" w:eastAsia="Times New Roman" w:hAnsi="Times New Roman"/>
          <w:b/>
          <w:bCs/>
          <w:sz w:val="20"/>
          <w:szCs w:val="20"/>
        </w:rPr>
        <w:t xml:space="preserve">FIG. 1.</w:t>
      </w:r>
      <w:r>
        <w:rPr>
          <w:rFonts w:ascii="Times New Roman" w:cs="Times New Roman" w:eastAsia="Times New Roman" w:hAnsi="Times New Roman"/>
          <w:sz w:val="20"/>
          <w:szCs w:val="20"/>
        </w:rPr>
        <w:t xml:space="preserve"> Substructure-conditional critical-current prediction from heterogeneous literature. (a) The path from the retrieval corpus to the cohorts that carry each fitted quantity, with the count at every stage and the three screens a published curve passes on the way. (b) The per-axis expression, the three scopes at which its exponents are aggregated, prototype structures of the four substructure families, and the sample-form diagnostic that sets the conditioning rule the predictor follows; the conditioning claim itself rests on the temperature-axis separation of Sec. III.C rather than on that diagnostic, for the reasons given in Sec. III.A. (c) Three of the gates a prediction target passes to be dispatched, the reduced-variable scaling result, a family-scope envelope with its bootstrap interval, and the dispatch outcome. The workflow starts from a screened corpus of 934 retrieved articles and converts published critical-current measurements into curve-level records that preserve sample form, fixed temperature or field, and source-paper context. Fifty papers pass the fittability filters and contribute fitted curves across 35 compound labels, denoting 27 distinct composition keys in the reduction of Sec. II.D, and 3303 critical-current data points, of which 20 satisfy the stricter two-axis criterion, 23 before the eleven withdrawals. Fittable and partial-fit records are aggregated within substructure families and sample-form classes rather than pooled into a single universal model. The calibrated model evaluates 183 distinct candidate compounds and emits family-scope critical-current envelopes only when the validation gates are satisfied, including sufficient anchor data, monotonic predicted temperature dependence of log</w:t>
      </w:r>
      <w:r>
        <w:rPr>
          <w:rFonts w:ascii="Times New Roman" w:cs="Times New Roman" w:eastAsia="Times New Roman" w:hAnsi="Times New Roman"/>
          <w:i w:val="false"/>
          <w:iCs w:val="false"/>
          <w:sz w:val="20"/>
          <w:szCs w:val="20"/>
          <w:vertAlign w:val="subscript"/>
        </w:rPr>
        <w:t xml:space="preserve">10</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J</w:t>
      </w:r>
      <w:r>
        <w:rPr>
          <w:rFonts w:ascii="Times New Roman" w:cs="Times New Roman" w:eastAsia="Times New Roman" w:hAnsi="Times New Roman"/>
          <w:i w:val="false"/>
          <w:iCs w:val="false"/>
          <w:sz w:val="20"/>
          <w:szCs w:val="20"/>
          <w:vertAlign w:val="subscript"/>
        </w:rPr>
        <w:t xml:space="preserve">c</w:t>
      </w:r>
      <w:r>
        <w:rPr>
          <w:rFonts w:ascii="Times New Roman" w:cs="Times New Roman" w:eastAsia="Times New Roman" w:hAnsi="Times New Roman"/>
          <w:sz w:val="20"/>
          <w:szCs w:val="20"/>
        </w:rPr>
        <w:t>, membership in a populated substructure family, and availability of the required critical scale. Of the 183 candidates, 84 are dispatched with at least one non-refused prediction target and 123 lie inside the calibration domain of Sec. III.E; the remainder are refused with an explicit reason code.</w:t>
      </w:r>
    </w:p>
    <w:p>
      <w:pPr>
        <w:pStyle w:val="Heading1"/>
        <w:spacing w:after="240" w:before="480"/>
        <w:jc w:val="center"/>
      </w:pPr>
      <w:r>
        <w:rPr>
          <w:rFonts w:ascii="Times New Roman" w:cs="Times New Roman" w:eastAsia="Times New Roman" w:hAnsi="Times New Roman"/>
          <w:b/>
          <w:bCs/>
          <w:color w:val="000000"/>
          <w:sz w:val="24"/>
          <w:szCs w:val="24"/>
        </w:rPr>
        <w:t xml:space="preserve">II. METHODS</w:t>
      </w:r>
    </w:p>
    <w:p>
      <w:pPr>
        <w:spacing w:after="0" w:line="480"/>
        <w:ind w:firstLine="431"/>
        <w:jc w:val="both"/>
      </w:pPr>
      <w:r>
        <w:rPr>
          <w:rFonts w:ascii="Times New Roman" w:cs="Times New Roman" w:eastAsia="Times New Roman" w:hAnsi="Times New Roman"/>
          <w:sz w:val="24"/>
          <w:szCs w:val="24"/>
        </w:rPr>
        <w:t xml:space="preserve">The methods follow the workflow of Figs. 1 and 2, in four steps. We extract curve-level records from the screened corpus (Sec. II.A), assign physical anchors and substructure labels (Sec. II.B), aggregate the fitted exponents within empirically validated scopes (Sec. II.C), and dispatch predictions only through explicit refusal gates (Sec. II.D).</w:t>
      </w:r>
    </w:p>
    <w:p>
      <w:pPr>
        <w:pStyle w:val="Heading2"/>
        <w:spacing w:after="200" w:before="360"/>
        <w:jc w:val="center"/>
      </w:pPr>
      <w:r>
        <w:rPr>
          <w:rFonts w:ascii="Times New Roman" w:cs="Times New Roman" w:eastAsia="Times New Roman" w:hAnsi="Times New Roman"/>
          <w:b/>
          <w:bCs/>
          <w:color w:val="000000"/>
          <w:sz w:val="24"/>
          <w:szCs w:val="24"/>
        </w:rPr>
        <w:t xml:space="preserve">A. Data extraction layer</w:t>
      </w:r>
    </w:p>
    <w:p>
      <w:pPr>
        <w:spacing w:after="0" w:line="480"/>
        <w:ind w:firstLine="431"/>
        <w:jc w:val="both"/>
      </w:pPr>
      <w:r>
        <w:rPr>
          <w:rFonts w:ascii="Times New Roman" w:cs="Times New Roman" w:eastAsia="Times New Roman" w:hAnsi="Times New Roman"/>
          <w:sz w:val="24"/>
          <w:szCs w:val="24"/>
        </w:rPr>
        <w:t xml:space="preserve">Literature-derived critical-current prediction requires retaining the full experimental context of each measurement: critical current density depends on sample form, microstructure, measurement geometry, temperature range, and magnetic-field range, so a useful data object cannot be reduced to a single value per compound. Here each record is a curve associated with a source paper, a physical sample, a sample form, and a fixed value of the other measurement axis. This design follows a broader scheme from scientific information extraction: literature-derived data become useful for modeling when both provenance (the identity of the source paper and the sample, recorded for every extracted measurement so that any downstream claim can be traced back to its original report) and measurement context (the temperature, magnetic field, sample form, and any reported doping or processing variables associated with the curve) are preserved throughout the pipeline </w:t>
      </w:r>
      <w:r>
        <w:rPr>
          <w:rFonts w:ascii="Times New Roman" w:cs="Times New Roman" w:eastAsia="Times New Roman" w:hAnsi="Times New Roman"/>
          <w:sz w:val="24"/>
          <w:szCs w:val="24"/>
        </w:rPr>
        <w:t xml:space="preserve">[23–26]</w:t>
      </w:r>
      <w:r>
        <w:rPr>
          <w:rFonts w:ascii="Times New Roman" w:cs="Times New Roman" w:eastAsia="Times New Roman" w:hAnsi="Times New Roman"/>
          <w:sz w:val="24"/>
          <w:szCs w:val="24"/>
        </w:rPr>
        <w:t xml:space="preserve">.</w:t>
      </w:r>
    </w:p>
    <w:p>
      <w:pPr>
        <w:spacing w:after="0" w:line="480"/>
        <w:ind w:firstLine="431"/>
        <w:jc w:val="both"/>
      </w:pPr>
      <w:r>
        <w:rPr>
          <w:rFonts w:ascii="Times New Roman" w:cs="Times New Roman" w:eastAsia="Times New Roman" w:hAnsi="Times New Roman"/>
          <w:i/>
          <w:iCs/>
          <w:sz w:val="24"/>
          <w:szCs w:val="24"/>
        </w:rPr>
        <w:t xml:space="preserve">Corpus and its provenance.</w:t>
      </w:r>
      <w:r>
        <w:rPr>
          <w:rFonts w:ascii="Times New Roman" w:cs="Times New Roman" w:eastAsia="Times New Roman" w:hAnsi="Times New Roman"/>
          <w:sz w:val="24"/>
          <w:szCs w:val="24"/>
        </w:rPr>
        <w:t xml:space="preserve"> The primary retrieval used two open scientific publishing APIs, Elsevier ScienceDirect and Springer Nature, queried for terms associated with critical-current measurements in type-II superconductors, including "critical current density,"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 "upper critical field," "flux pinning," and "vortex pinning," combined with substructure-family keywords ("iron chalcogenide," "iron pnictide," "magnesium diboride," "cuprate," "YBCO," "BSCCO," and related). Retrieval is candidate-driven rather than exhaustive: the search targets papers most likely to report fittable critical-current curves, not every paper on superconductivity. Records are deduplicated by digital object identifier before downstream processing. The combined post-deduplication corpus contains 934 articles spanning the four decades from the discovery of high-temperature superconductivity in 1986 to the present.</w:t>
      </w:r>
    </w:p>
    <w:p>
      <w:pPr>
        <w:spacing w:after="0" w:line="480"/>
        <w:ind w:firstLine="431"/>
        <w:jc w:val="both"/>
      </w:pPr>
      <w:r>
        <w:rPr>
          <w:rFonts w:ascii="Times New Roman" w:cs="Times New Roman" w:eastAsia="Times New Roman" w:hAnsi="Times New Roman"/>
          <w:sz w:val="24"/>
          <w:szCs w:val="24"/>
        </w:rPr>
        <w:t>The fitted cohort is not drawn exclusively from those two publishers, and we state this explicitly because an earlier version of this manuscript implied otherwise. Eighteen of the 20 source papers behind the temperature-axis exponent cohort are arXiv preprints, and the field-axis cohort additionally includes nine records digitized from National High Magnetic Field Laboratory datasets. The Elsevier and Springer APIs supplied the retrieval and screening corpus; the fitted curves come from that corpus together with these preprint and facility sources. All source identifiers are enumerated in the data deposit.</w:t>
      </w:r>
    </w:p>
    <w:p>
      <w:pPr>
        <w:spacing w:after="0" w:line="480"/>
        <w:ind w:firstLine="431"/>
        <w:jc w:val="both"/>
      </w:pPr>
      <w:r>
        <w:rPr>
          <w:rFonts w:ascii="Times New Roman" w:cs="Times New Roman" w:eastAsia="Times New Roman" w:hAnsi="Times New Roman"/>
          <w:i/>
          <w:iCs/>
          <w:sz w:val="24"/>
          <w:szCs w:val="24"/>
        </w:rPr>
        <w:t xml:space="preserve">Effective dataset size.</w:t>
      </w:r>
      <w:r>
        <w:rPr>
          <w:rFonts w:ascii="Times New Roman" w:cs="Times New Roman" w:eastAsia="Times New Roman" w:hAnsi="Times New Roman"/>
          <w:sz w:val="24"/>
          <w:szCs w:val="24"/>
        </w:rPr>
        <w:t xml:space="preserve"> The figure "934 papers" describes the screened corpus, not the evidence base for any fitted quantity. The quantities used in this work rest on the smaller cohorts in Table I, which we give in full so that every claim below can be sized against its actual support.</w:t>
      </w:r>
    </w:p>
    <w:p>
      <w:pPr>
        <w:spacing w:after="140" w:before="360" w:line="240"/>
        <w:jc w:val="both"/>
      </w:pPr>
      <w:r>
        <w:rPr>
          <w:rFonts w:ascii="Times New Roman" w:cs="Times New Roman" w:eastAsia="Times New Roman" w:hAnsi="Times New Roman"/>
          <w:b/>
          <w:bCs/>
          <w:sz w:val="20"/>
          <w:szCs w:val="20"/>
        </w:rPr>
        <w:t xml:space="preserve">TABLE I.</w:t>
      </w:r>
      <w:r>
        <w:rPr>
          <w:rFonts w:ascii="Times New Roman" w:cs="Times New Roman" w:eastAsia="Times New Roman" w:hAnsi="Times New Roman"/>
          <w:sz w:val="20"/>
          <w:szCs w:val="20"/>
        </w:rPr>
        <w:t xml:space="preserve"> Effective dataset at each stage. The screened corpus is the retrieval scope; every fitted quantity rests on one of the smaller cohorts.</w:t>
      </w:r>
    </w:p>
    <w:tbl>
      <w:tblPr>
        <w:tblW w:type="dxa" w:w="9360"/>
        <w:tblBorders>
          <w:top w:val="double" w:sz="6"/>
          <w:left w:val="none" w:sz="0"/>
          <w:bottom w:val="double" w:sz="6"/>
          <w:right w:val="none" w:sz="0"/>
          <w:insideH w:val="none" w:sz="0"/>
          <w:insideV w:val="none" w:sz="0"/>
        </w:tblBorders>
      </w:tblPr>
      <w:tblGrid>
        <w:gridCol w:w="3400"/>
        <w:gridCol w:w="1200"/>
        <w:gridCol w:w="4760"/>
      </w:tblGrid>
      <w:tr>
        <w:trPr>
          <w:tblHeader/>
        </w:trPr>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Stage</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Count</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What it supports</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Screened corpus (post-deduplication)</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934</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Retrieval scope and corpus-level census statements</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Papers contributing fitted curves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50</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All exponent fits</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Distinct compound labels with fitted curves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35</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Family population counts. A label count, not a count of distinct materials; see Sec. II.D</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Critical-current data points extracted</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3303</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All fits</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Compounds with a computable aggregate fit (both axes)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20</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Functional-form selection; universal-scaling test. Both were computed on the pre-withdrawal set of 23 and are reported as such where they appear</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Temperature-axis partial fits (β</w:t>
            </w:r>
            <w:r>
              <w:rPr>
                <w:rFonts w:ascii="Times New Roman" w:cs="Times New Roman" w:eastAsia="Times New Roman" w:hAnsi="Times New Roman"/>
                <w:i w:val="false"/>
                <w:iCs w:val="false"/>
                <w:sz w:val="19"/>
                <w:szCs w:val="19"/>
                <w:vertAlign w:val="subscript"/>
              </w:rPr>
              <w:t xml:space="preserve">T</w:t>
            </w:r>
            <w:r>
              <w:rPr>
                <w:rFonts w:ascii="Times New Roman" w:cs="Times New Roman" w:eastAsia="Times New Roman" w:hAnsi="Times New Roman"/>
                <w:sz w:val="19"/>
                <w:szCs w:val="19"/>
              </w:rPr>
              <w:t xml:space="preserv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257</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Temperature-exponent aggregation and validation</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Field-axis partial fits passing physicality</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52</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Field-exponent aggregation, from 12 source papers</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Per-paper anchors behind Fig. 3</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70 of 96</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Variance-decomposition diagnostic. Fig. 3 draws the 70 rows carrying no withdrawal; Sec. III.A reports the diagnostic on both cohorts</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Candidate compounds evaluated</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183</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Dispatch and refusal accounting</w:t>
            </w:r>
          </w:p>
        </w:tc>
      </w:tr>
    </w:tbl>
    <w:p>
      <w:pPr>
        <w:spacing w:after="240"/>
      </w:pPr>
      <w:r>
        <w:rPr>
          <w:sz w:val="8"/>
          <w:szCs w:val="8"/>
        </w:rPr>
        <w:t xml:space="preserve"/>
      </w:r>
    </w:p>
    <w:p>
      <w:pPr>
        <w:spacing w:after="0" w:line="480"/>
        <w:ind w:firstLine="431"/>
        <w:jc w:val="both"/>
      </w:pPr>
      <w:r>
        <w:rPr>
          <w:rFonts w:ascii="Times New Roman" w:cs="Times New Roman" w:eastAsia="Times New Roman" w:hAnsi="Times New Roman"/>
          <w:sz w:val="24"/>
          <w:szCs w:val="24"/>
        </w:rPr>
        <w:t xml:space="preserve">Each paper is screened against the applicability window of the Kramer-type power-law model used here. Writing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min</w:t>
      </w:r>
      <w:r>
        <w:rPr>
          <w:rFonts w:ascii="Times New Roman" w:cs="Times New Roman" w:eastAsia="Times New Roman" w:hAnsi="Times New Roman"/>
          <w:sz w:val="24"/>
          <w:szCs w:val="24"/>
        </w:rPr>
        <w:t xml:space="preserve"> for the lowest measured temperature of a curve and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min</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max</w:t>
      </w:r>
      <w:r>
        <w:rPr>
          <w:rFonts w:ascii="Times New Roman" w:cs="Times New Roman" w:eastAsia="Times New Roman" w:hAnsi="Times New Roman"/>
          <w:sz w:val="24"/>
          <w:szCs w:val="24"/>
        </w:rPr>
        <w:t xml:space="preserve"> for the endpoints of its measured field range, a curve is admitted to the temperature axis or the field axis respectively when</w:t>
      </w:r>
    </w:p>
    <w:p>
      <w:pPr>
        <w:tabs>
          <w:tab w:val="center" w:pos="4680"/>
          <w:tab w:val="right" w:pos="9360"/>
        </w:tabs>
        <w:spacing w:after="240" w:before="240" w:line="240"/>
        <w:jc w:val="left"/>
      </w:pPr>
      <w:r>
        <w:rPr>
          <w:rFonts w:ascii="Times New Roman" w:cs="Times New Roman" w:eastAsia="Times New Roman" w:hAnsi="Times New Roman"/>
          <w:sz w:val="24"/>
          <w:szCs w:val="24"/>
        </w:rPr>
        <w:t xml:space="preserve">	</w:t>
      </w:r>
      <m:oMath>
        <m:f>
          <m:fPr>
            <m:type m:val="bar"/>
          </m:fPr>
          <m:num>
            <m:sSub>
              <m:e>
                <m:r>
                  <m:t>T</m:t>
                </m:r>
              </m:e>
              <m:sub>
                <m:r>
                  <m:rPr>
                    <m:sty m:val="p"/>
                  </m:rPr>
                  <m:t>min</m:t>
                </m:r>
              </m:sub>
            </m:sSub>
          </m:num>
          <m:den>
            <m:sSub>
              <m:e>
                <m:r>
                  <m:t>T</m:t>
                </m:r>
              </m:e>
              <m:sub>
                <m:r>
                  <m:t>c</m:t>
                </m:r>
              </m:sub>
            </m:sSub>
          </m:den>
        </m:f>
        <m:r>
          <m:rPr>
            <m:sty m:val="p"/>
          </m:rPr>
          <m:t>&lt;</m:t>
        </m:r>
        <m:r>
          <m:t>0.7</m:t>
        </m:r>
        <m:r>
          <m:t>  </m:t>
        </m:r>
        <m:r>
          <m:rPr>
            <m:nor/>
          </m:rPr>
          <m:t>and</m:t>
        </m:r>
        <m:r>
          <m:t>  </m:t>
        </m:r>
        <m:f>
          <m:fPr>
            <m:type m:val="bar"/>
          </m:fPr>
          <m:num>
            <m:sSub>
              <m:e>
                <m:r>
                  <m:t>H</m:t>
                </m:r>
              </m:e>
              <m:sub>
                <m:r>
                  <m:rPr>
                    <m:sty m:val="p"/>
                  </m:rPr>
                  <m:t>max</m:t>
                </m:r>
              </m:sub>
            </m:sSub>
            <m:r>
              <m:rPr>
                <m:sty m:val="p"/>
              </m:rPr>
              <m:t>−</m:t>
            </m:r>
            <m:sSub>
              <m:e>
                <m:r>
                  <m:t>H</m:t>
                </m:r>
              </m:e>
              <m:sub>
                <m:r>
                  <m:rPr>
                    <m:sty m:val="p"/>
                  </m:rPr>
                  <m:t>min</m:t>
                </m:r>
              </m:sub>
            </m:sSub>
          </m:num>
          <m:den>
            <m:sSub>
              <m:e>
                <m:r>
                  <m:t>H</m:t>
                </m:r>
              </m:e>
              <m:sub>
                <m:r>
                  <m:t>c</m:t>
                </m:r>
                <m:r>
                  <m:t>2</m:t>
                </m:r>
                <m:r>
                  <m:rPr>
                    <m:sty m:val="p"/>
                  </m:rPr>
                  <m:t>,</m:t>
                </m:r>
                <m:r>
                  <m:t>0</m:t>
                </m:r>
              </m:sub>
            </m:sSub>
          </m:den>
        </m:f>
        <m:r>
          <m:rPr>
            <m:sty m:val="p"/>
          </m:rPr>
          <m:t>&gt;</m:t>
        </m:r>
        <m:r>
          <m:t>0.3</m:t>
        </m:r>
      </m:oMath>
      <w:r>
        <w:rPr>
          <w:rFonts w:ascii="Times New Roman" w:cs="Times New Roman" w:eastAsia="Times New Roman" w:hAnsi="Times New Roman"/>
          <w:sz w:val="24"/>
          <w:szCs w:val="24"/>
        </w:rPr>
        <w:t xml:space="preserve">	(1)</w:t>
      </w:r>
    </w:p>
    <w:p>
      <w:pPr>
        <w:spacing w:after="0" w:line="480"/>
        <w:ind w:firstLine="431"/>
        <w:jc w:val="both"/>
      </w:pPr>
      <w:r>
        <w:rPr>
          <w:rFonts w:ascii="Times New Roman" w:cs="Times New Roman" w:eastAsia="Times New Roman" w:hAnsi="Times New Roman"/>
          <w:sz w:val="24"/>
          <w:szCs w:val="24"/>
        </w:rPr>
        <w:t xml:space="preserve">The temperature criterion uses the transition temperature, which is reported for essentially every curve in the corpus. The field criterion uses the upper critical field, which is not, and Section II.C states which realization of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c2,0</w:t>
      </w:r>
      <w:r>
        <w:rPr>
          <w:rFonts w:ascii="Times New Roman" w:cs="Times New Roman" w:eastAsia="Times New Roman" w:hAnsi="Times New Roman"/>
          <w:sz w:val="24"/>
          <w:szCs w:val="24"/>
        </w:rPr>
        <w:t xml:space="preserve"> the criterion was evaluated against in practice. A partial fit is one in which the applicability window is satisfied on a single measurement axis but not both; it contributes that axis to the aggregation while the other axis remains uncharacterized for that record. The word respectively above names which condition belongs to which axis, not which conditions are imposed on it. In this revision both conditions are imposed on both axes. In the original submission the temperature condition was imposed on the temperature axis only, and applying it to the field axis as well removes 11 of the 63 fits that clear the field condition by itself, which is how the 52-fit field cohort of Sec. III.C is reached. Supplement Sec. 16 gives the disposition of all 94 field-axis fits individually. Papers outside the applicability window are excluded because missing temperature or field span prevents stable estimation of the exponent. Section III.F reports what happens when the field criterion is evaluated against the literature scale instead.</w:t>
      </w:r>
    </w:p>
    <w:p>
      <w:pPr>
        <w:spacing w:after="0" w:line="480"/>
        <w:ind w:firstLine="431"/>
        <w:jc w:val="both"/>
      </w:pPr>
      <w:r>
        <w:rPr>
          <w:rFonts w:ascii="Times New Roman" w:cs="Times New Roman" w:eastAsia="Times New Roman" w:hAnsi="Times New Roman"/>
          <w:i/>
          <w:iCs/>
          <w:sz w:val="24"/>
          <w:szCs w:val="24"/>
        </w:rPr>
        <w:t xml:space="preserve">Threshold-based screening.</w:t>
      </w:r>
      <w:r>
        <w:rPr>
          <w:rFonts w:ascii="Times New Roman" w:cs="Times New Roman" w:eastAsia="Times New Roman" w:hAnsi="Times New Roman"/>
          <w:sz w:val="24"/>
          <w:szCs w:val="24"/>
        </w:rPr>
        <w:t xml:space="preserve"> The partial-fit boundary serves a different purpose from the stricter full-fit criterion used for model-form selection. Full fits require measurements below 0.95 of the transition temperature and below 0.95 of the upper critical field, with at least 20 data points and at least three distinct temperature values. This separation lets the corpus support two linked tasks: the broader filter enables large-scale extraction from heterogeneous literature, while the stricter filter validates the functional form on compounds with two-axis coverage.</w:t>
      </w:r>
    </w:p>
    <w:p>
      <w:pPr>
        <w:spacing w:after="0" w:line="480"/>
        <w:ind w:firstLine="431"/>
        <w:jc w:val="both"/>
      </w:pPr>
      <w:r>
        <w:rPr>
          <w:rFonts w:ascii="Times New Roman" w:cs="Times New Roman" w:eastAsia="Times New Roman" w:hAnsi="Times New Roman"/>
          <w:i/>
          <w:iCs/>
          <w:sz w:val="24"/>
          <w:szCs w:val="24"/>
        </w:rPr>
        <w:t xml:space="preserve">AI-assisted extraction.</w:t>
      </w:r>
      <w:r>
        <w:rPr>
          <w:rFonts w:ascii="Times New Roman" w:cs="Times New Roman" w:eastAsia="Times New Roman" w:hAnsi="Times New Roman"/>
          <w:sz w:val="24"/>
          <w:szCs w:val="24"/>
        </w:rPr>
        <w:t xml:space="preserve"> Papers that pass the initial screen are processed with a vision-language extraction protocol. The protocol reads each critical-current plot, identifies the axes and scales, digitizes the data-point coordinates, and assigns metadata to each curve. Three disambiguation passes resolve common ambiguities in published figures: multiple samples plotted on a single panel, the fixed temperature or magnetic field assigned to each curve, and doping or processing variables reported by the source authors. The multimodal model is used as a plot-reading assistant for coordinate identification and axis labeling </w:t>
      </w:r>
      <w:r>
        <w:rPr>
          <w:rFonts w:ascii="Times New Roman" w:cs="Times New Roman" w:eastAsia="Times New Roman" w:hAnsi="Times New Roman"/>
          <w:sz w:val="24"/>
          <w:szCs w:val="24"/>
        </w:rPr>
        <w:t xml:space="preserve">[27, 28]</w:t>
      </w:r>
      <w:r>
        <w:rPr>
          <w:rFonts w:ascii="Times New Roman" w:cs="Times New Roman" w:eastAsia="Times New Roman" w:hAnsi="Times New Roman"/>
          <w:sz w:val="24"/>
          <w:szCs w:val="24"/>
        </w:rPr>
        <w:t xml:space="preserve">. All curve grouping, fitting, aggregation, validation, and prediction are performed by deterministic code, meaning standard Python scripts whose outputs are fully reproducible from the extracted data and fixed random seeds, with no further calls to a stochastic language model.</w:t>
      </w:r>
    </w:p>
    <w:p>
      <w:pPr>
        <w:spacing w:after="0" w:line="480"/>
        <w:ind w:firstLine="431"/>
        <w:jc w:val="both"/>
      </w:pPr>
      <w:r>
        <w:rPr>
          <w:rFonts w:ascii="Times New Roman" w:cs="Times New Roman" w:eastAsia="Times New Roman" w:hAnsi="Times New Roman"/>
          <w:i/>
          <w:iCs/>
          <w:sz w:val="24"/>
          <w:szCs w:val="24"/>
        </w:rPr>
        <w:t xml:space="preserve">Magnetic-field units.</w:t>
      </w:r>
      <w:r>
        <w:rPr>
          <w:rFonts w:ascii="Times New Roman" w:cs="Times New Roman" w:eastAsia="Times New Roman" w:hAnsi="Times New Roman"/>
          <w:sz w:val="24"/>
          <w:szCs w:val="24"/>
        </w:rPr>
        <w:t xml:space="preserve"> Published critical-current figures label the field axis in tesla, kilo-oersted, or gauss, and the conversion is a step the extraction protocol must perform explicitly. A dual-model audit of the printed axis label on every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-versus-field figure in the fitted cohort found five papers in which kilo-oersted had been recorded as tesla, a factor of ten. Two other papers printing kilo-oersted and gauss had been converted correctly, so unit handling was not deterministic in the original protocol. The five affected papers have been corrected, restoring 188 rows across 21 of the field-axis fits, and the corrected values are those used throughout this manuscript and in the data deposit. Unit verification is now a required and separately logged extraction step rather than an incidental part of axis reading.</w:t>
      </w:r>
    </w:p>
    <w:p>
      <w:pPr>
        <w:spacing w:after="0" w:line="480"/>
        <w:ind w:firstLine="431"/>
        <w:jc w:val="both"/>
      </w:pPr>
      <w:r>
        <w:rPr>
          <w:rFonts w:ascii="Times New Roman" w:cs="Times New Roman" w:eastAsia="Times New Roman" w:hAnsi="Times New Roman"/>
          <w:i/>
          <w:iCs/>
          <w:sz w:val="24"/>
          <w:szCs w:val="24"/>
        </w:rPr>
        <w:t xml:space="preserve">Cross-model verification.</w:t>
      </w:r>
      <w:r>
        <w:rPr>
          <w:rFonts w:ascii="Times New Roman" w:cs="Times New Roman" w:eastAsia="Times New Roman" w:hAnsi="Times New Roman"/>
          <w:sz w:val="24"/>
          <w:szCs w:val="24"/>
        </w:rPr>
        <w:t xml:space="preserve"> Because the extraction is model-assisted, we treat agreement between independent readers as a gate rather than as a convenience. The extraction is dual-model at the point of reading: every figure is read independently by two vision-language models developed by different organizations, on different architectures and training data, prompted separately and without access to each other's output, and instructed that "no such data in this paper" is a correct and expected answer. Verification is a separate third pass by a later model generation, run against the recorded output rather than against the figure alone. A value enters the dataset only where the two agree; disagreements are escalated to manual reading against the source figure. Applied retrospectively to the critical-field layer, this gate is what identified the provenance problem reported in Section III.F: for eight of sixteen audited papers, both models independently reported that no critical-field-versus-temperature figure exists, while the pipeline held extracted critical-field values for all eight. We describe the gate here because it is part of the method, and because a model-assisted extraction pipeline that does not implement one has no mechanism for detecting this class of failure.</w:t>
      </w:r>
    </w:p>
    <w:p>
      <w:pPr>
        <w:spacing w:after="0" w:line="480"/>
        <w:ind w:firstLine="431"/>
        <w:jc w:val="both"/>
      </w:pPr>
      <w:r>
        <w:rPr>
          <w:rFonts w:ascii="Times New Roman" w:cs="Times New Roman" w:eastAsia="Times New Roman" w:hAnsi="Times New Roman"/>
          <w:i/>
          <w:iCs/>
          <w:sz w:val="24"/>
          <w:szCs w:val="24"/>
        </w:rPr>
        <w:t xml:space="preserve">Output.</w:t>
      </w:r>
      <w:r>
        <w:rPr>
          <w:rFonts w:ascii="Times New Roman" w:cs="Times New Roman" w:eastAsia="Times New Roman" w:hAnsi="Times New Roman"/>
          <w:sz w:val="24"/>
          <w:szCs w:val="24"/>
        </w:rPr>
        <w:t xml:space="preserve"> The final extraction output is a row-level table containing the source paper, sample form, sample identifier, fixed-axis value, and any source-attributed doping or annealing variable. The extraction yields 662 vision-pass cache entries across the fittable and partial-fit literature. The grouping key is the tuple of source paper, sample form, sample identifier, and fixed-axis value, so each fit is tied to a single physical sample measured under a fixed-axis condition. This constraint keeps sample-form variation separate from compound-identity variation, which is essential for the conditioned predictor developed below.</w:t>
      </w:r>
    </w:p>
    <w:p>
      <w:pPr>
        <w:pStyle w:val="Heading2"/>
        <w:spacing w:after="200" w:before="360"/>
        <w:jc w:val="center"/>
      </w:pPr>
      <w:r>
        <w:rPr>
          <w:rFonts w:ascii="Times New Roman" w:cs="Times New Roman" w:eastAsia="Times New Roman" w:hAnsi="Times New Roman"/>
          <w:b/>
          <w:bCs/>
          <w:color w:val="000000"/>
          <w:sz w:val="24"/>
          <w:szCs w:val="24"/>
        </w:rPr>
        <w:t xml:space="preserve">B. Anchor assignment and substructure labels</w:t>
      </w:r>
    </w:p>
    <w:p>
      <w:pPr>
        <w:spacing w:after="0" w:line="480"/>
        <w:ind w:firstLine="431"/>
        <w:jc w:val="both"/>
      </w:pPr>
      <w:r>
        <w:rPr>
          <w:rFonts w:ascii="Times New Roman" w:cs="Times New Roman" w:eastAsia="Times New Roman" w:hAnsi="Times New Roman"/>
          <w:sz w:val="24"/>
          <w:szCs w:val="24"/>
        </w:rPr>
        <w:t xml:space="preserve">Each fitted curve requires a transition-temperature anchor and an upper-critical-field anchor. These are assigned through a provenance hierarchy. Paper-reported values for the measured sample have highest priority, because they preserve the closest link between the fitted curve and the experimental specimen. Where paper-specific values are unavailable, values are drawn from a compiled reference table. Parent-compound matches are used only with explicit deviation flags: examples include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anchors for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-class variants such as carbon- or aluminum-substituted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and BaFe</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As</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anchors for cation-variant 122-type compounds such as (Ba</w:t>
      </w:r>
      <w:r>
        <w:rPr>
          <w:rFonts w:ascii="Times New Roman" w:cs="Times New Roman" w:eastAsia="Times New Roman" w:hAnsi="Times New Roman"/>
          <w:i w:val="false"/>
          <w:iCs w:val="false"/>
          <w:sz w:val="24"/>
          <w:szCs w:val="24"/>
          <w:vertAlign w:val="subscript"/>
        </w:rPr>
        <w:t xml:space="preserve">1−x</w:t>
      </w:r>
      <w:r>
        <w:rPr>
          <w:rFonts w:ascii="Times New Roman" w:cs="Times New Roman" w:eastAsia="Times New Roman" w:hAnsi="Times New Roman"/>
          <w:sz w:val="24"/>
          <w:szCs w:val="24"/>
        </w:rPr>
        <w:t xml:space="preserve">K</w:t>
      </w:r>
      <w:r>
        <w:rPr>
          <w:rFonts w:ascii="Times New Roman" w:cs="Times New Roman" w:eastAsia="Times New Roman" w:hAnsi="Times New Roman"/>
          <w:i w:val="false"/>
          <w:iCs w:val="false"/>
          <w:sz w:val="24"/>
          <w:szCs w:val="24"/>
          <w:vertAlign w:val="subscript"/>
        </w:rPr>
        <w:t xml:space="preserve">x</w:t>
      </w:r>
      <w:r>
        <w:rPr>
          <w:rFonts w:ascii="Times New Roman" w:cs="Times New Roman" w:eastAsia="Times New Roman" w:hAnsi="Times New Roman"/>
          <w:sz w:val="24"/>
          <w:szCs w:val="24"/>
        </w:rPr>
        <w:t xml:space="preserve">)Fe</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As</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w:t>
      </w:r>
    </w:p>
    <w:p>
      <w:pPr>
        <w:spacing w:after="0" w:line="480"/>
        <w:ind w:firstLine="431"/>
        <w:jc w:val="both"/>
      </w:pPr>
      <w:r>
        <w:rPr>
          <w:rFonts w:ascii="Times New Roman" w:cs="Times New Roman" w:eastAsia="Times New Roman" w:hAnsi="Times New Roman"/>
          <w:sz w:val="24"/>
          <w:szCs w:val="24"/>
        </w:rPr>
        <w:t xml:space="preserve">The reference table warrants a precise description, since an earlier version of this manuscript called it "curated substructure reference values" without qualification. It contains 53 entries. Twenty-six carry a literature citation. Eighteen are estimated from family trends rather than taken from a specific measurement. Five come from a materials registry, and four are fixed reference values adopted for high-population compounds. The estimated tier is concentrated in exactly the compounds where the literature is thinnest, and Section III.D reports a sensitivity analysis that perturbs those entries to test whether any conclusion depends on them.</w:t>
      </w:r>
    </w:p>
    <w:p>
      <w:pPr>
        <w:spacing w:after="0" w:line="480"/>
        <w:ind w:firstLine="431"/>
        <w:jc w:val="both"/>
      </w:pPr>
      <w:r>
        <w:rPr>
          <w:rFonts w:ascii="Times New Roman" w:cs="Times New Roman" w:eastAsia="Times New Roman" w:hAnsi="Times New Roman"/>
          <w:sz w:val="24"/>
          <w:szCs w:val="24"/>
        </w:rPr>
        <w:t xml:space="preserve">Two further properties of this layer should be stated at the outset. First, upper critical fields in anisotropic superconductors are orientation-dependent, often strongly: for Fe(Te,Se) the reported values differ by more than a factor of two between </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c</w:t>
      </w:r>
      <w:r>
        <w:rPr>
          <w:rFonts w:ascii="Times New Roman" w:cs="Times New Roman" w:eastAsia="Times New Roman" w:hAnsi="Times New Roman"/>
          <w:sz w:val="24"/>
          <w:szCs w:val="24"/>
        </w:rPr>
        <w:t xml:space="preserve"> and </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ab</w:t>
      </w:r>
      <w:r>
        <w:rPr>
          <w:rFonts w:ascii="Times New Roman" w:cs="Times New Roman" w:eastAsia="Times New Roman" w:hAnsi="Times New Roman"/>
          <w:sz w:val="24"/>
          <w:szCs w:val="24"/>
        </w:rPr>
        <w:t xml:space="preserve">. Field orientation is captured as free text in the extraction table for 26 records but is not propagated into the fits, whereas several of the reference anchors are orientation-resolved. The anchors and the measurements are therefore not guaranteed to describe the same field configuration. Second, the irreversibility field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irr</w:t>
      </w:r>
      <w:r>
        <w:rPr>
          <w:rFonts w:ascii="Times New Roman" w:cs="Times New Roman" w:eastAsia="Times New Roman" w:hAnsi="Times New Roman"/>
          <w:sz w:val="24"/>
          <w:szCs w:val="24"/>
        </w:rPr>
        <w:t xml:space="preserve"> and the upper critical field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w:t>
      </w:r>
      <w:r>
        <w:rPr>
          <w:rFonts w:ascii="Times New Roman" w:cs="Times New Roman" w:eastAsia="Times New Roman" w:hAnsi="Times New Roman"/>
          <w:sz w:val="24"/>
          <w:szCs w:val="24"/>
        </w:rPr>
        <w:t xml:space="preserve"> are distinct quantities, with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irr</w:t>
      </w:r>
      <w:r>
        <w:rPr>
          <w:rFonts w:ascii="Times New Roman" w:cs="Times New Roman" w:eastAsia="Times New Roman" w:hAnsi="Times New Roman"/>
          <w:sz w:val="24"/>
          <w:szCs w:val="24"/>
        </w:rPr>
        <w:t xml:space="preserve"> &lt;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w:t>
      </w:r>
      <w:r>
        <w:rPr>
          <w:rFonts w:ascii="Times New Roman" w:cs="Times New Roman" w:eastAsia="Times New Roman" w:hAnsi="Times New Roman"/>
          <w:sz w:val="24"/>
          <w:szCs w:val="24"/>
        </w:rPr>
        <w:t xml:space="preserve"> in general </w:t>
      </w:r>
      <w:r>
        <w:rPr>
          <w:rFonts w:ascii="Times New Roman" w:cs="Times New Roman" w:eastAsia="Times New Roman" w:hAnsi="Times New Roman"/>
          <w:sz w:val="24"/>
          <w:szCs w:val="24"/>
        </w:rPr>
        <w:t xml:space="preserve">[29]</w:t>
      </w:r>
      <w:r>
        <w:rPr>
          <w:rFonts w:ascii="Times New Roman" w:cs="Times New Roman" w:eastAsia="Times New Roman" w:hAnsi="Times New Roman"/>
          <w:sz w:val="24"/>
          <w:szCs w:val="24"/>
        </w:rPr>
        <w:t xml:space="preserve">, and published figures do not always label which is plotted. Both issues are quantified in Section III.F.</w:t>
      </w:r>
    </w:p>
    <w:p>
      <w:pPr>
        <w:spacing w:after="0" w:line="480"/>
        <w:ind w:firstLine="431"/>
        <w:jc w:val="both"/>
      </w:pPr>
      <w:r>
        <w:rPr>
          <w:rFonts w:ascii="Times New Roman" w:cs="Times New Roman" w:eastAsia="Times New Roman" w:hAnsi="Times New Roman"/>
          <w:sz w:val="24"/>
          <w:szCs w:val="24"/>
        </w:rPr>
        <w:t>Substructure labels are assigned from stoichiometry and crystal system, linking each compound to a physically meaningful family before any cross-compound aggregation. The leave-one-substructure-out (LOSO) analysis holds out an entire substructure family at a time, fits the predictor on the remaining families, and tests generalization across substructure boundaries. It uses seven populated families: iron chalcogenide 11-type, iron pnictide 122-type, iron pnictide 1111-type, three cuprate substructures, and the MgB2-class conventional family.</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xml:space="preserve"> We use LOSO rather than random </w:t>
      </w:r>
      <w:r>
        <w:rPr>
          <w:rFonts w:ascii="Times New Roman" w:cs="Times New Roman" w:eastAsia="Times New Roman" w:hAnsi="Times New Roman"/>
          <w:i/>
          <w:iCs/>
          <w:sz w:val="24"/>
          <w:szCs w:val="24"/>
        </w:rPr>
        <w:t xml:space="preserve">k</w:t>
      </w:r>
      <w:r>
        <w:rPr>
          <w:rFonts w:ascii="Times New Roman" w:cs="Times New Roman" w:eastAsia="Times New Roman" w:hAnsi="Times New Roman"/>
          <w:sz w:val="24"/>
          <w:szCs w:val="24"/>
        </w:rPr>
        <w:t xml:space="preserve">-fold cross-validation, and within-substructure leave-one-compound-out (LOCO) rather than random holdouts, because the relevant generalization question is not how the model performs on a random subset of measurements but how it performs on a family or compound it has never seen. Random </w:t>
      </w:r>
      <w:r>
        <w:rPr>
          <w:rFonts w:ascii="Times New Roman" w:cs="Times New Roman" w:eastAsia="Times New Roman" w:hAnsi="Times New Roman"/>
          <w:i/>
          <w:iCs/>
          <w:sz w:val="24"/>
          <w:szCs w:val="24"/>
        </w:rPr>
        <w:t xml:space="preserve">k</w:t>
      </w:r>
      <w:r>
        <w:rPr>
          <w:rFonts w:ascii="Times New Roman" w:cs="Times New Roman" w:eastAsia="Times New Roman" w:hAnsi="Times New Roman"/>
          <w:sz w:val="24"/>
          <w:szCs w:val="24"/>
        </w:rPr>
        <w:t xml:space="preserve">-fold pooling can place measurements of the same compound in both training and test folds, which overstates generalization for a literature-derived predictor.</w:t>
      </w:r>
    </w:p>
    <w:p>
      <w:pPr>
        <w:spacing w:after="0" w:line="480"/>
        <w:ind w:firstLine="431"/>
        <w:jc w:val="both"/>
      </w:pPr>
      <w:r>
        <w:rPr>
          <w:rFonts w:ascii="Times New Roman" w:cs="Times New Roman" w:eastAsia="Times New Roman" w:hAnsi="Times New Roman"/>
          <w:i/>
          <w:iCs/>
          <w:sz w:val="24"/>
          <w:szCs w:val="24"/>
        </w:rPr>
        <w:t xml:space="preserve">Compound naming.</w:t>
      </w:r>
      <w:r>
        <w:rPr>
          <w:rFonts w:ascii="Times New Roman" w:cs="Times New Roman" w:eastAsia="Times New Roman" w:hAnsi="Times New Roman"/>
          <w:sz w:val="24"/>
          <w:szCs w:val="24"/>
        </w:rPr>
        <w:t xml:space="preserve"> Compositional descriptors, space group, and crystal-system labels are retrieved through DOI-resolved matching to Materials Project and 3DSC_MP records </w:t>
      </w:r>
      <w:r>
        <w:rPr>
          <w:rFonts w:ascii="Times New Roman" w:cs="Times New Roman" w:eastAsia="Times New Roman" w:hAnsi="Times New Roman"/>
          <w:sz w:val="24"/>
          <w:szCs w:val="24"/>
        </w:rPr>
        <w:t xml:space="preserve">[3, 6]</w:t>
      </w:r>
      <w:r>
        <w:rPr>
          <w:rFonts w:ascii="Times New Roman" w:cs="Times New Roman" w:eastAsia="Times New Roman" w:hAnsi="Times New Roman"/>
          <w:sz w:val="24"/>
          <w:szCs w:val="24"/>
        </w:rPr>
        <w:t xml:space="preserve">, and the pipeline therefore carries Materials Project reduced formulas internally. These differ from conventional superconductivity nomenclature. In this manuscript we use conventional names throughout; Table S3 of the Supplemental Material gives the full mapping, of which representative entries are LaFeAsO for La</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FeAs</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O, BaFe</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As</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for Ba(FeAs)</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KFe</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As</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for K(FeAs)</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FeTe</w:t>
      </w:r>
      <w:r>
        <w:rPr>
          <w:rFonts w:ascii="Times New Roman" w:cs="Times New Roman" w:eastAsia="Times New Roman" w:hAnsi="Times New Roman"/>
          <w:i w:val="false"/>
          <w:iCs w:val="false"/>
          <w:sz w:val="24"/>
          <w:szCs w:val="24"/>
          <w:vertAlign w:val="subscript"/>
        </w:rPr>
        <w:t xml:space="preserve">0.5</w:t>
      </w:r>
      <w:r>
        <w:rPr>
          <w:rFonts w:ascii="Times New Roman" w:cs="Times New Roman" w:eastAsia="Times New Roman" w:hAnsi="Times New Roman"/>
          <w:sz w:val="24"/>
          <w:szCs w:val="24"/>
        </w:rPr>
        <w:t xml:space="preserve">Se</w:t>
      </w:r>
      <w:r>
        <w:rPr>
          <w:rFonts w:ascii="Times New Roman" w:cs="Times New Roman" w:eastAsia="Times New Roman" w:hAnsi="Times New Roman"/>
          <w:i w:val="false"/>
          <w:iCs w:val="false"/>
          <w:sz w:val="24"/>
          <w:szCs w:val="24"/>
          <w:vertAlign w:val="subscript"/>
        </w:rPr>
        <w:t xml:space="preserve">0.5</w:t>
      </w:r>
      <w:r>
        <w:rPr>
          <w:rFonts w:ascii="Times New Roman" w:cs="Times New Roman" w:eastAsia="Times New Roman" w:hAnsi="Times New Roman"/>
          <w:sz w:val="24"/>
          <w:szCs w:val="24"/>
        </w:rPr>
        <w:t xml:space="preserve"> for Fe</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TeSe, La</w:t>
      </w:r>
      <w:r>
        <w:rPr>
          <w:rFonts w:ascii="Times New Roman" w:cs="Times New Roman" w:eastAsia="Times New Roman" w:hAnsi="Times New Roman"/>
          <w:i w:val="false"/>
          <w:iCs w:val="false"/>
          <w:sz w:val="24"/>
          <w:szCs w:val="24"/>
          <w:vertAlign w:val="subscript"/>
        </w:rPr>
        <w:t xml:space="preserve">2−x</w:t>
      </w:r>
      <w:r>
        <w:rPr>
          <w:rFonts w:ascii="Times New Roman" w:cs="Times New Roman" w:eastAsia="Times New Roman" w:hAnsi="Times New Roman"/>
          <w:sz w:val="24"/>
          <w:szCs w:val="24"/>
        </w:rPr>
        <w:t xml:space="preserve">Sr</w:t>
      </w:r>
      <w:r>
        <w:rPr>
          <w:rFonts w:ascii="Times New Roman" w:cs="Times New Roman" w:eastAsia="Times New Roman" w:hAnsi="Times New Roman"/>
          <w:i w:val="false"/>
          <w:iCs w:val="false"/>
          <w:sz w:val="24"/>
          <w:szCs w:val="24"/>
          <w:vertAlign w:val="subscript"/>
        </w:rPr>
        <w:t xml:space="preserve">x</w:t>
      </w:r>
      <w:r>
        <w:rPr>
          <w:rFonts w:ascii="Times New Roman" w:cs="Times New Roman" w:eastAsia="Times New Roman" w:hAnsi="Times New Roman"/>
          <w:sz w:val="24"/>
          <w:szCs w:val="24"/>
        </w:rPr>
        <w:t xml:space="preserve">CuO</w:t>
      </w:r>
      <w:r>
        <w:rPr>
          <w:rFonts w:ascii="Times New Roman" w:cs="Times New Roman" w:eastAsia="Times New Roman" w:hAnsi="Times New Roman"/>
          <w:i w:val="false"/>
          <w:iCs w:val="false"/>
          <w:sz w:val="24"/>
          <w:szCs w:val="24"/>
          <w:vertAlign w:val="subscript"/>
        </w:rPr>
        <w:t xml:space="preserve">4</w:t>
      </w:r>
      <w:r>
        <w:rPr>
          <w:rFonts w:ascii="Times New Roman" w:cs="Times New Roman" w:eastAsia="Times New Roman" w:hAnsi="Times New Roman"/>
          <w:sz w:val="24"/>
          <w:szCs w:val="24"/>
        </w:rPr>
        <w:t xml:space="preserve"> for SrLaCuO</w:t>
      </w:r>
      <w:r>
        <w:rPr>
          <w:rFonts w:ascii="Times New Roman" w:cs="Times New Roman" w:eastAsia="Times New Roman" w:hAnsi="Times New Roman"/>
          <w:i w:val="false"/>
          <w:iCs w:val="false"/>
          <w:sz w:val="24"/>
          <w:szCs w:val="24"/>
          <w:vertAlign w:val="subscript"/>
        </w:rPr>
        <w:t xml:space="preserve">4</w:t>
      </w:r>
      <w:r>
        <w:rPr>
          <w:rFonts w:ascii="Times New Roman" w:cs="Times New Roman" w:eastAsia="Times New Roman" w:hAnsi="Times New Roman"/>
          <w:sz w:val="24"/>
          <w:szCs w:val="24"/>
        </w:rPr>
        <w:t xml:space="preserve">, and Bi-2223 for Sr2Ca2Cu3(BiO5)2. One consequence should be stated plainly, because it bears on how Table I is read: the count of 35 in Table I is a count of these labels and not of distinct materials. Rows extracted through the registry carry the registry formula and rows extracted from the published paper carry the paper's stoichiometry, so the same material can appear under two labels, as Pr2FeAs2O and PrFeAsO0.6F0.12 do for one specimen set from one paper, while a single label can cover samples with different dopants and different transition temperatures, as Ba(FeAs)2 at 38 K and BaFe2As2 at 20 K do. Reducing the 35 labels to distinct combinations of substructure family, element set, and dopant marker leaves 27 composition keys; the reduction is mechanical and errs in both directions, merging Fe9Se8 with FeSe and separating PrFeAsO0.6F0.12 from Pr2FeAs2O, so 27 is reported as the output of a stated rule rather than as a material count. No aggregation in this work groups by label: exponents are aggregated by substructure family and sample form. The one analysis for which a label is the unit is the compound leave-one-out, and its two cohorts differ. The temperature-axis cohort holds nine labels denoting nine different compositions. The field-axis cohort holds ten, of which FeSe_Te_doped and FeTe0.5Se0.5 name the same Fe(Se,Te) material in two papers, so a compound held out under one label is not fully held out; the field axis is not validated at family level in this revision and no claim rests on it.</w:t>
      </w:r>
      <w:r>
        <w:rPr>
          <w:rFonts w:ascii="Times New Roman" w:cs="Times New Roman" w:eastAsia="Times New Roman" w:hAnsi="Times New Roman"/>
          <w:i w:val="false"/>
          <w:iCs w:val="false"/>
          <w:sz w:val="24"/>
          <w:szCs w:val="24"/>
          <w:vertAlign w:val="subscript"/>
        </w:rPr>
        <w:t xml:space="preserve"/>
      </w:r>
      <w:r>
        <w:rPr>
          <w:rFonts w:ascii="Times New Roman" w:cs="Times New Roman" w:eastAsia="Times New Roman" w:hAnsi="Times New Roman"/>
          <w:sz w:val="24"/>
          <w:szCs w:val="24"/>
        </w:rPr>
        <w:t xml:space="preserve"/>
      </w:r>
      <w:r>
        <w:rPr>
          <w:rFonts w:ascii="Times New Roman" w:cs="Times New Roman" w:eastAsia="Times New Roman" w:hAnsi="Times New Roman"/>
          <w:i w:val="false"/>
          <w:iCs w:val="false"/>
          <w:sz w:val="24"/>
          <w:szCs w:val="24"/>
          <w:vertAlign w:val="subscript"/>
        </w:rPr>
        <w:t xml:space="preserve"/>
      </w:r>
      <w:r>
        <w:rPr>
          <w:rFonts w:ascii="Times New Roman" w:cs="Times New Roman" w:eastAsia="Times New Roman" w:hAnsi="Times New Roman"/>
          <w:sz w:val="24"/>
          <w:szCs w:val="24"/>
        </w:rPr>
        <w:t xml:space="preserve"/>
      </w:r>
      <w:r>
        <w:rPr>
          <w:rFonts w:ascii="Times New Roman" w:cs="Times New Roman" w:eastAsia="Times New Roman" w:hAnsi="Times New Roman"/>
          <w:i w:val="false"/>
          <w:iCs w:val="false"/>
          <w:sz w:val="24"/>
          <w:szCs w:val="24"/>
          <w:vertAlign w:val="subscript"/>
        </w:rPr>
        <w:t xml:space="preserve"/>
      </w:r>
      <w:r>
        <w:rPr>
          <w:rFonts w:ascii="Times New Roman" w:cs="Times New Roman" w:eastAsia="Times New Roman" w:hAnsi="Times New Roman"/>
          <w:sz w:val="24"/>
          <w:szCs w:val="24"/>
        </w:rPr>
        <w:t xml:space="preserve"/>
      </w:r>
      <w:r>
        <w:rPr>
          <w:rFonts w:ascii="Times New Roman" w:cs="Times New Roman" w:eastAsia="Times New Roman" w:hAnsi="Times New Roman"/>
          <w:i w:val="false"/>
          <w:iCs w:val="false"/>
          <w:sz w:val="24"/>
          <w:szCs w:val="24"/>
          <w:vertAlign w:val="subscript"/>
        </w:rPr>
        <w:t xml:space="preserve"/>
      </w:r>
      <w:r>
        <w:rPr>
          <w:rFonts w:ascii="Times New Roman" w:cs="Times New Roman" w:eastAsia="Times New Roman" w:hAnsi="Times New Roman"/>
          <w:sz w:val="24"/>
          <w:szCs w:val="24"/>
        </w:rPr>
        <w:t xml:space="preserve"/>
      </w:r>
      <w:r>
        <w:rPr>
          <w:rFonts w:ascii="Times New Roman" w:cs="Times New Roman" w:eastAsia="Times New Roman" w:hAnsi="Times New Roman"/>
          <w:i w:val="false"/>
          <w:iCs w:val="false"/>
          <w:sz w:val="24"/>
          <w:szCs w:val="24"/>
          <w:vertAlign w:val="subscript"/>
        </w:rPr>
        <w:t xml:space="preserve"/>
      </w:r>
      <w:r>
        <w:rPr>
          <w:rFonts w:ascii="Times New Roman" w:cs="Times New Roman" w:eastAsia="Times New Roman" w:hAnsi="Times New Roman"/>
          <w:sz w:val="24"/>
          <w:szCs w:val="24"/>
        </w:rPr>
        <w:t xml:space="preserve"/>
      </w:r>
    </w:p>
    <w:p>
      <w:pPr>
        <w:pStyle w:val="Heading2"/>
        <w:spacing w:after="200" w:before="360"/>
        <w:jc w:val="center"/>
      </w:pPr>
      <w:r>
        <w:rPr>
          <w:rFonts w:ascii="Times New Roman" w:cs="Times New Roman" w:eastAsia="Times New Roman" w:hAnsi="Times New Roman"/>
          <w:b/>
          <w:bCs/>
          <w:color w:val="000000"/>
          <w:sz w:val="24"/>
          <w:szCs w:val="24"/>
        </w:rPr>
        <w:t xml:space="preserve">C. Aggregation architecture</w:t>
      </w:r>
    </w:p>
    <w:p>
      <w:pPr>
        <w:spacing w:after="0" w:line="480"/>
        <w:ind w:firstLine="431"/>
        <w:jc w:val="both"/>
      </w:pPr>
      <w:r>
        <w:rPr>
          <w:rFonts w:ascii="Times New Roman" w:cs="Times New Roman" w:eastAsia="Times New Roman" w:hAnsi="Times New Roman"/>
          <w:sz w:val="24"/>
          <w:szCs w:val="24"/>
        </w:rPr>
        <w:t xml:space="preserve">With each fitted curve assigned to a substructure family and anchored to physical reference values, the aggregation step can proceed. The method separates three operations that must remain distinct in a literature-scale prediction problem. First, scaling exponents are extracted from physically grouped curves within each paper. Second, those exponents are aggregated only across compounds that share empirically supported conditioning variables, such as substructure family and sample form. Third, the model emits a prediction only when the target lies inside the window over which the exponents were calibrated, and every emitted value carries the validation status of its family and axis. This produces a calibrated family-level critical-current surface and prevents a sparse, heterogeneous dataset from being forced into an unsupported per-compound ranking problem.</w:t>
      </w:r>
    </w:p>
    <w:p>
      <w:pPr>
        <w:spacing w:after="0" w:line="480"/>
        <w:ind w:firstLine="431"/>
        <w:jc w:val="both"/>
      </w:pPr>
      <w:r>
        <w:rPr>
          <w:rFonts w:ascii="Times New Roman" w:cs="Times New Roman" w:eastAsia="Times New Roman" w:hAnsi="Times New Roman"/>
          <w:sz w:val="24"/>
          <w:szCs w:val="24"/>
        </w:rPr>
        <w:t xml:space="preserve">All stages use the same per-axis power-law expression, referred to throughout as </w:t>
      </w:r>
      <w:r>
        <w:rPr>
          <w:rFonts w:ascii="Times New Roman" w:cs="Times New Roman" w:eastAsia="Times New Roman" w:hAnsi="Times New Roman"/>
          <w:b/>
          <w:bCs/>
          <w:sz w:val="24"/>
          <w:szCs w:val="24"/>
        </w:rPr>
        <w:t xml:space="preserve">Form 3</w:t>
      </w:r>
      <w:r>
        <w:rPr>
          <w:rFonts w:ascii="Times New Roman" w:cs="Times New Roman" w:eastAsia="Times New Roman" w:hAnsi="Times New Roman"/>
          <w:sz w:val="24"/>
          <w:szCs w:val="24"/>
        </w:rPr>
        <w:t xml:space="preserve">:</w:t>
      </w:r>
    </w:p>
    <w:p>
      <w:pPr>
        <w:tabs>
          <w:tab w:val="center" w:pos="4680"/>
          <w:tab w:val="right" w:pos="9360"/>
        </w:tabs>
        <w:spacing w:after="240" w:before="240" w:line="240"/>
        <w:jc w:val="left"/>
      </w:pPr>
      <w:r>
        <w:rPr>
          <w:rFonts w:ascii="Times New Roman" w:cs="Times New Roman" w:eastAsia="Times New Roman" w:hAnsi="Times New Roman"/>
          <w:sz w:val="24"/>
          <w:szCs w:val="24"/>
        </w:rPr>
        <w:t xml:space="preserve">	</w:t>
      </w:r>
      <m:oMath>
        <m:sSub>
          <m:e>
            <m:r>
              <m:rPr>
                <m:sty m:val="p"/>
              </m:rPr>
              <m:t>log</m:t>
            </m:r>
          </m:e>
          <m:sub>
            <m:r>
              <m:t>10</m:t>
            </m:r>
          </m:sub>
        </m:sSub>
        <m:sSub>
          <m:e>
            <m:r>
              <m:t>J</m:t>
            </m:r>
          </m:e>
          <m:sub>
            <m:r>
              <m:t>c</m:t>
            </m:r>
          </m:sub>
        </m:sSub>
        <m:d>
          <m:dPr>
            <m:begChr m:val="("/>
            <m:sepChr m:val=""/>
            <m:endChr m:val=")"/>
            <m:grow/>
          </m:dPr>
          <m:e>
            <m:r>
              <m:t>x</m:t>
            </m:r>
          </m:e>
        </m:d>
        <m:r>
          <m:rPr>
            <m:sty m:val="p"/>
          </m:rPr>
          <m:t>=</m:t>
        </m:r>
        <m:sSub>
          <m:e>
            <m:r>
              <m:rPr>
                <m:sty m:val="p"/>
              </m:rPr>
              <m:t>log</m:t>
            </m:r>
          </m:e>
          <m:sub>
            <m:r>
              <m:t>10</m:t>
            </m:r>
          </m:sub>
        </m:sSub>
        <m:sSub>
          <m:e>
            <m:r>
              <m:t>J</m:t>
            </m:r>
          </m:e>
          <m:sub>
            <m:r>
              <m:t>c</m:t>
            </m:r>
            <m:r>
              <m:rPr>
                <m:sty m:val="p"/>
              </m:rPr>
              <m:t>,</m:t>
            </m:r>
            <m:r>
              <m:rPr>
                <m:sty m:val="p"/>
              </m:rPr>
              <m:t>p</m:t>
            </m:r>
            <m:r>
              <m:rPr>
                <m:sty m:val="p"/>
              </m:rPr>
              <m:t>a</m:t>
            </m:r>
            <m:r>
              <m:rPr>
                <m:sty m:val="p"/>
              </m:rPr>
              <m:t>r</m:t>
            </m:r>
            <m:r>
              <m:rPr>
                <m:sty m:val="p"/>
              </m:rPr>
              <m:t>t</m:t>
            </m:r>
            <m:r>
              <m:rPr>
                <m:sty m:val="p"/>
              </m:rPr>
              <m:t>i</m:t>
            </m:r>
            <m:r>
              <m:rPr>
                <m:sty m:val="p"/>
              </m:rPr>
              <m:t>a</m:t>
            </m:r>
            <m:r>
              <m:rPr>
                <m:sty m:val="p"/>
              </m:rPr>
              <m:t>l</m:t>
            </m:r>
          </m:sub>
        </m:sSub>
        <m:r>
          <m:rPr>
            <m:sty m:val="p"/>
          </m:rPr>
          <m:t>+</m:t>
        </m:r>
        <m:r>
          <m:t>β</m:t>
        </m:r>
        <m:r>
          <m:t> </m:t>
        </m:r>
        <m:sSub>
          <m:e>
            <m:r>
              <m:rPr>
                <m:sty m:val="p"/>
              </m:rPr>
              <m:t>log</m:t>
            </m:r>
          </m:e>
          <m:sub>
            <m:r>
              <m:t>10</m:t>
            </m:r>
          </m:sub>
        </m:sSub>
        <m:r>
          <m:t>​</m:t>
        </m:r>
        <m:d>
          <m:dPr>
            <m:begChr m:val="("/>
            <m:sepChr m:val=""/>
            <m:endChr m:val=")"/>
            <m:grow/>
          </m:dPr>
          <m:e>
            <m:r>
              <m:t>1</m:t>
            </m:r>
            <m:r>
              <m:rPr>
                <m:sty m:val="p"/>
              </m:rPr>
              <m:t>−</m:t>
            </m:r>
            <m:f>
              <m:fPr>
                <m:type m:val="bar"/>
              </m:fPr>
              <m:num>
                <m:r>
                  <m:t>x</m:t>
                </m:r>
              </m:num>
              <m:den>
                <m:sSub>
                  <m:e>
                    <m:r>
                      <m:t>x</m:t>
                    </m:r>
                  </m:e>
                  <m:sub>
                    <m:r>
                      <m:t>c</m:t>
                    </m:r>
                  </m:sub>
                </m:sSub>
              </m:den>
            </m:f>
          </m:e>
        </m:d>
      </m:oMath>
      <w:r>
        <w:rPr>
          <w:rFonts w:ascii="Times New Roman" w:cs="Times New Roman" w:eastAsia="Times New Roman" w:hAnsi="Times New Roman"/>
          <w:sz w:val="24"/>
          <w:szCs w:val="24"/>
        </w:rPr>
        <w:t xml:space="preserve">	(2)</w:t>
      </w:r>
    </w:p>
    <w:p>
      <w:pPr>
        <w:spacing w:after="0" w:line="480"/>
        <w:ind w:firstLine="431"/>
        <w:jc w:val="both"/>
      </w:pPr>
      <w:r>
        <w:rPr>
          <w:rFonts w:ascii="Times New Roman" w:cs="Times New Roman" w:eastAsia="Times New Roman" w:hAnsi="Times New Roman"/>
          <w:sz w:val="24"/>
          <w:szCs w:val="24"/>
        </w:rPr>
        <w:t xml:space="preserve">Here </w:t>
      </w:r>
      <w:r>
        <w:rPr>
          <w:rFonts w:ascii="Times New Roman" w:cs="Times New Roman" w:eastAsia="Times New Roman" w:hAnsi="Times New Roman"/>
          <w:i/>
          <w:iCs/>
          <w:sz w:val="24"/>
          <w:szCs w:val="24"/>
        </w:rPr>
        <w:t xml:space="preserve">x</w:t>
      </w:r>
      <w:r>
        <w:rPr>
          <w:rFonts w:ascii="Times New Roman" w:cs="Times New Roman" w:eastAsia="Times New Roman" w:hAnsi="Times New Roman"/>
          <w:sz w:val="24"/>
          <w:szCs w:val="24"/>
        </w:rPr>
        <w:t xml:space="preserve"> denotes either temperature or applied magnetic field, and </w:t>
      </w:r>
      <w:r>
        <w:rPr>
          <w:rFonts w:ascii="Times New Roman" w:cs="Times New Roman" w:eastAsia="Times New Roman" w:hAnsi="Times New Roman"/>
          <w:i/>
          <w:iCs/>
          <w:sz w:val="24"/>
          <w:szCs w:val="24"/>
        </w:rPr>
        <w:t xml:space="preserve">x</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is the corresponding critical scale. A </w:t>
      </w:r>
      <w:r>
        <w:rPr>
          <w:rFonts w:ascii="Times New Roman" w:cs="Times New Roman" w:eastAsia="Times New Roman" w:hAnsi="Times New Roman"/>
          <w:b/>
          <w:bCs/>
          <w:sz w:val="24"/>
          <w:szCs w:val="24"/>
        </w:rPr>
        <w:t xml:space="preserve">scaling exponent</w:t>
      </w:r>
      <w:r>
        <w:rPr>
          <w:rFonts w:ascii="Times New Roman" w:cs="Times New Roman" w:eastAsia="Times New Roman" w:hAnsi="Times New Roman"/>
          <w:sz w:val="24"/>
          <w:szCs w:val="24"/>
        </w:rPr>
        <w:t xml:space="preserve"> β is the fitted power to which the reduced distance from the critical scale is raised; it is a dimensionless number, and errors in it are dimensionless, not logarithmic. For temperature-axis fits, </w:t>
      </w:r>
      <w:r>
        <w:rPr>
          <w:rFonts w:ascii="Times New Roman" w:cs="Times New Roman" w:eastAsia="Times New Roman" w:hAnsi="Times New Roman"/>
          <w:i/>
          <w:iCs/>
          <w:sz w:val="24"/>
          <w:szCs w:val="24"/>
        </w:rPr>
        <w:t xml:space="preserve">x</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is the transition temperature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and the fitted exponent is </w:t>
      </w:r>
      <w:r>
        <w:rPr>
          <w:rFonts w:ascii="Times New Roman" w:cs="Times New Roman" w:eastAsia="Times New Roman" w:hAnsi="Times New Roman"/>
          <w:b/>
          <w:bCs/>
          <w:sz w:val="24"/>
          <w:szCs w:val="24"/>
        </w:rPr>
        <w:t xml:space="preserve">β</w:t>
      </w:r>
      <w:r>
        <w:rPr>
          <w:rFonts w:ascii="Times New Roman" w:cs="Times New Roman" w:eastAsia="Times New Roman" w:hAnsi="Times New Roman"/>
          <w:b/>
          <w:bCs/>
          <w:i w:val="false"/>
          <w:iCs w:val="false"/>
          <w:sz w:val="24"/>
          <w:szCs w:val="24"/>
          <w:vertAlign w:val="subscript"/>
        </w:rPr>
        <w:t xml:space="preserve">T</w:t>
      </w:r>
      <w:r>
        <w:rPr>
          <w:rFonts w:ascii="Times New Roman" w:cs="Times New Roman" w:eastAsia="Times New Roman" w:hAnsi="Times New Roman"/>
          <w:sz w:val="24"/>
          <w:szCs w:val="24"/>
        </w:rPr>
        <w:t xml:space="preserve">, which controls how steeply the critical current falls as temperature approaches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For field-axis fits, </w:t>
      </w:r>
      <w:r>
        <w:rPr>
          <w:rFonts w:ascii="Times New Roman" w:cs="Times New Roman" w:eastAsia="Times New Roman" w:hAnsi="Times New Roman"/>
          <w:i/>
          <w:iCs/>
          <w:sz w:val="24"/>
          <w:szCs w:val="24"/>
        </w:rPr>
        <w:t xml:space="preserve">x</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is the upper critical field and the fitted exponent is </w:t>
      </w:r>
      <w:r>
        <w:rPr>
          <w:rFonts w:ascii="Times New Roman" w:cs="Times New Roman" w:eastAsia="Times New Roman" w:hAnsi="Times New Roman"/>
          <w:b/>
          <w:bCs/>
          <w:sz w:val="24"/>
          <w:szCs w:val="24"/>
        </w:rPr>
        <w:t xml:space="preserve">β</w:t>
      </w:r>
      <w:r>
        <w:rPr>
          <w:rFonts w:ascii="Times New Roman" w:cs="Times New Roman" w:eastAsia="Times New Roman" w:hAnsi="Times New Roman"/>
          <w:b/>
          <w:bCs/>
          <w:i w:val="false"/>
          <w:iCs w:val="false"/>
          <w:sz w:val="24"/>
          <w:szCs w:val="24"/>
          <w:vertAlign w:val="subscript"/>
        </w:rPr>
        <w:t xml:space="preserve">H</w:t>
      </w:r>
      <w:r>
        <w:rPr>
          <w:rFonts w:ascii="Times New Roman" w:cs="Times New Roman" w:eastAsia="Times New Roman" w:hAnsi="Times New Roman"/>
          <w:sz w:val="24"/>
          <w:szCs w:val="24"/>
        </w:rPr>
        <w:t xml:space="preserve">, which controls how steeply the critical current falls with applied field. </w:t>
      </w:r>
      <w:r>
        <w:rPr>
          <w:rFonts w:ascii="Times New Roman" w:cs="Times New Roman" w:eastAsia="Times New Roman" w:hAnsi="Times New Roman"/>
          <w:b/>
          <w:bCs/>
          <w:sz w:val="24"/>
          <w:szCs w:val="24"/>
        </w:rPr>
        <w:t xml:space="preserve">log</w:t>
      </w:r>
      <w:r>
        <w:rPr>
          <w:rFonts w:ascii="Times New Roman" w:cs="Times New Roman" w:eastAsia="Times New Roman" w:hAnsi="Times New Roman"/>
          <w:b/>
          <w:bCs/>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*J</w:t>
      </w:r>
      <w:r>
        <w:rPr>
          <w:rFonts w:ascii="Times New Roman" w:cs="Times New Roman" w:eastAsia="Times New Roman" w:hAnsi="Times New Roman"/>
          <w:b/>
          <w:bCs/>
          <w:i w:val="false"/>
          <w:iCs w:val="false"/>
          <w:sz w:val="24"/>
          <w:szCs w:val="24"/>
          <w:vertAlign w:val="subscript"/>
        </w:rPr>
        <w:t xml:space="preserve">c,partial</w:t>
      </w:r>
      <w:r>
        <w:rPr>
          <w:rFonts w:ascii="Times New Roman" w:cs="Times New Roman" w:eastAsia="Times New Roman" w:hAnsi="Times New Roman"/>
          <w:sz w:val="24"/>
          <w:szCs w:val="24"/>
        </w:rPr>
        <w:t xml:space="preserve">* is the intercept, the extrapolated critical current at zero reduced field or zero reduced temperature on the fitted axis. The two axes are fitted independently.</w:t>
      </w:r>
    </w:p>
    <w:p>
      <w:pPr>
        <w:spacing w:after="0" w:line="480"/>
        <w:ind w:firstLine="431"/>
        <w:jc w:val="both"/>
      </w:pPr>
      <w:r>
        <w:rPr>
          <w:rFonts w:ascii="Times New Roman" w:cs="Times New Roman" w:eastAsia="Times New Roman" w:hAnsi="Times New Roman"/>
          <w:sz w:val="24"/>
          <w:szCs w:val="24"/>
        </w:rPr>
        <w:t xml:space="preserve">The two axes are fitted independently. Equation (2) follows the reduced-scale logic of the classical Kramer and pinning-force descriptions </w:t>
      </w:r>
      <w:r>
        <w:rPr>
          <w:rFonts w:ascii="Times New Roman" w:cs="Times New Roman" w:eastAsia="Times New Roman" w:hAnsi="Times New Roman"/>
          <w:sz w:val="24"/>
          <w:szCs w:val="24"/>
        </w:rPr>
        <w:t xml:space="preserve">[12, 13]</w:t>
      </w:r>
      <w:r>
        <w:rPr>
          <w:rFonts w:ascii="Times New Roman" w:cs="Times New Roman" w:eastAsia="Times New Roman" w:hAnsi="Times New Roman"/>
          <w:sz w:val="24"/>
          <w:szCs w:val="24"/>
        </w:rPr>
        <w:t xml:space="preserve">, in which the critical current is written against the reduced distance from a critical field,</w:t>
      </w:r>
    </w:p>
    <w:p>
      <w:pPr>
        <w:tabs>
          <w:tab w:val="center" w:pos="4680"/>
          <w:tab w:val="right" w:pos="9360"/>
        </w:tabs>
        <w:spacing w:after="240" w:before="240" w:line="240"/>
        <w:jc w:val="left"/>
      </w:pPr>
      <w:r>
        <w:rPr>
          <w:rFonts w:ascii="Times New Roman" w:cs="Times New Roman" w:eastAsia="Times New Roman" w:hAnsi="Times New Roman"/>
          <w:sz w:val="24"/>
          <w:szCs w:val="24"/>
        </w:rPr>
        <w:t xml:space="preserve">	</w:t>
      </w:r>
      <m:oMath>
        <m:sSubSup>
          <m:e>
            <m:r>
              <m:t>J</m:t>
            </m:r>
          </m:e>
          <m:sub>
            <m:r>
              <m:t>c</m:t>
            </m:r>
          </m:sub>
          <m:sup>
            <m:r>
              <m:t>1</m:t>
            </m:r>
            <m:r>
              <m:rPr>
                <m:sty m:val="p"/>
              </m:rPr>
              <m:t>/</m:t>
            </m:r>
            <m:r>
              <m:t>2</m:t>
            </m:r>
          </m:sup>
        </m:sSubSup>
        <m:r>
          <m:t> </m:t>
        </m:r>
        <m:sSup>
          <m:e>
            <m:r>
              <m:t>H</m:t>
            </m:r>
          </m:e>
          <m:sup>
            <m:r>
              <m:t>1</m:t>
            </m:r>
            <m:r>
              <m:rPr>
                <m:sty m:val="p"/>
              </m:rPr>
              <m:t>/</m:t>
            </m:r>
            <m:r>
              <m:t>4</m:t>
            </m:r>
          </m:sup>
        </m:sSup>
        <m:r>
          <m:rPr>
            <m:sty m:val="p"/>
          </m:rPr>
          <m:t>=</m:t>
        </m:r>
        <m:r>
          <m:t>A</m:t>
        </m:r>
        <m:r>
          <m:t>​</m:t>
        </m:r>
        <m:d>
          <m:dPr>
            <m:begChr m:val="("/>
            <m:sepChr m:val=""/>
            <m:endChr m:val=")"/>
            <m:grow/>
          </m:dPr>
          <m:e>
            <m:r>
              <m:t>1</m:t>
            </m:r>
            <m:r>
              <m:rPr>
                <m:sty m:val="p"/>
              </m:rPr>
              <m:t>−</m:t>
            </m:r>
            <m:f>
              <m:fPr>
                <m:type m:val="bar"/>
              </m:fPr>
              <m:num>
                <m:r>
                  <m:t>H</m:t>
                </m:r>
              </m:num>
              <m:den>
                <m:sSub>
                  <m:e>
                    <m:r>
                      <m:t>H</m:t>
                    </m:r>
                  </m:e>
                  <m:sub>
                    <m:r>
                      <m:rPr>
                        <m:sty m:val="p"/>
                      </m:rPr>
                      <m:t>i</m:t>
                    </m:r>
                    <m:r>
                      <m:rPr>
                        <m:sty m:val="p"/>
                      </m:rPr>
                      <m:t>r</m:t>
                    </m:r>
                    <m:r>
                      <m:rPr>
                        <m:sty m:val="p"/>
                      </m:rPr>
                      <m:t>r</m:t>
                    </m:r>
                  </m:sub>
                </m:sSub>
              </m:den>
            </m:f>
          </m:e>
        </m:d>
        <m:r>
          <m:rPr>
            <m:sty m:val="p"/>
          </m:rPr>
          <m:t>,</m:t>
        </m:r>
        <m:r>
          <m:t>  </m:t>
        </m:r>
        <m:sSub>
          <m:e>
            <m:r>
              <m:t>F</m:t>
            </m:r>
          </m:e>
          <m:sub>
            <m:r>
              <m:t>p</m:t>
            </m:r>
          </m:sub>
        </m:sSub>
        <m:r>
          <m:rPr>
            <m:sty m:val="p"/>
          </m:rPr>
          <m:t>=</m:t>
        </m:r>
        <m:sSub>
          <m:e>
            <m:r>
              <m:t>μ</m:t>
            </m:r>
          </m:e>
          <m:sub>
            <m:r>
              <m:t>0</m:t>
            </m:r>
          </m:sub>
        </m:sSub>
        <m:r>
          <m:t>H</m:t>
        </m:r>
        <m:sSub>
          <m:e>
            <m:r>
              <m:t>J</m:t>
            </m:r>
          </m:e>
          <m:sub>
            <m:r>
              <m:t>c</m:t>
            </m:r>
          </m:sub>
        </m:sSub>
        <m:r>
          <m:rPr>
            <m:sty m:val="p"/>
          </m:rPr>
          <m:t>∝</m:t>
        </m:r>
        <m:sSup>
          <m:e>
            <m:r>
              <m:t>h</m:t>
            </m:r>
          </m:e>
          <m:sup>
            <m:r>
              <m:t> </m:t>
            </m:r>
            <m:r>
              <m:t>p</m:t>
            </m:r>
          </m:sup>
        </m:sSup>
        <m:r>
          <m:t> </m:t>
        </m:r>
        <m:sSup>
          <m:e>
            <m:d>
              <m:dPr>
                <m:begChr m:val="("/>
                <m:sepChr m:val=""/>
                <m:endChr m:val=")"/>
                <m:grow/>
              </m:dPr>
              <m:e>
                <m:r>
                  <m:t>1</m:t>
                </m:r>
                <m:r>
                  <m:rPr>
                    <m:sty m:val="p"/>
                  </m:rPr>
                  <m:t>−</m:t>
                </m:r>
                <m:r>
                  <m:t>h</m:t>
                </m:r>
              </m:e>
            </m:d>
          </m:e>
          <m:sup>
            <m:r>
              <m:t> </m:t>
            </m:r>
            <m:r>
              <m:t>q</m:t>
            </m:r>
          </m:sup>
        </m:sSup>
        <m:r>
          <m:rPr>
            <m:sty m:val="p"/>
          </m:rPr>
          <m:t>,</m:t>
        </m:r>
        <m:r>
          <m:t> </m:t>
        </m:r>
        <m:r>
          <m:t>h</m:t>
        </m:r>
        <m:r>
          <m:rPr>
            <m:sty m:val="p"/>
          </m:rPr>
          <m:t>=</m:t>
        </m:r>
        <m:f>
          <m:fPr>
            <m:type m:val="bar"/>
          </m:fPr>
          <m:num>
            <m:r>
              <m:t>H</m:t>
            </m:r>
          </m:num>
          <m:den>
            <m:sSub>
              <m:e>
                <m:r>
                  <m:t>H</m:t>
                </m:r>
              </m:e>
              <m:sub>
                <m:r>
                  <m:rPr>
                    <m:sty m:val="p"/>
                  </m:rPr>
                  <m:t>i</m:t>
                </m:r>
                <m:r>
                  <m:rPr>
                    <m:sty m:val="p"/>
                  </m:rPr>
                  <m:t>r</m:t>
                </m:r>
                <m:r>
                  <m:rPr>
                    <m:sty m:val="p"/>
                  </m:rPr>
                  <m:t>r</m:t>
                </m:r>
              </m:sub>
            </m:sSub>
          </m:den>
        </m:f>
      </m:oMath>
      <w:r>
        <w:rPr>
          <w:rFonts w:ascii="Times New Roman" w:cs="Times New Roman" w:eastAsia="Times New Roman" w:hAnsi="Times New Roman"/>
          <w:sz w:val="24"/>
          <w:szCs w:val="24"/>
        </w:rPr>
        <w:t xml:space="preserve">	(3)</w:t>
      </w:r>
    </w:p>
    <w:p>
      <w:pPr>
        <w:spacing w:after="0" w:line="480"/>
        <w:ind w:firstLine="431"/>
        <w:jc w:val="both"/>
      </w:pPr>
      <w:r>
        <w:rPr>
          <w:rFonts w:ascii="Times New Roman" w:cs="Times New Roman" w:eastAsia="Times New Roman" w:hAnsi="Times New Roman"/>
          <w:sz w:val="24"/>
          <w:szCs w:val="24"/>
        </w:rPr>
        <w:t xml:space="preserve">with </w:t>
      </w:r>
      <w:r>
        <w:rPr>
          <w:rFonts w:ascii="Times New Roman" w:cs="Times New Roman" w:eastAsia="Times New Roman" w:hAnsi="Times New Roman"/>
          <w:i/>
          <w:iCs/>
          <w:sz w:val="24"/>
          <w:szCs w:val="24"/>
        </w:rPr>
        <w:t xml:space="preserve">A</w:t>
      </w:r>
      <w:r>
        <w:rPr>
          <w:rFonts w:ascii="Times New Roman" w:cs="Times New Roman" w:eastAsia="Times New Roman" w:hAnsi="Times New Roman"/>
          <w:sz w:val="24"/>
          <w:szCs w:val="24"/>
        </w:rPr>
        <w:t xml:space="preserve"> a scale constant,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irr</w:t>
      </w:r>
      <w:r>
        <w:rPr>
          <w:rFonts w:ascii="Times New Roman" w:cs="Times New Roman" w:eastAsia="Times New Roman" w:hAnsi="Times New Roman"/>
          <w:sz w:val="24"/>
          <w:szCs w:val="24"/>
        </w:rPr>
        <w:t xml:space="preserve"> the irreversibility field, </w:t>
      </w:r>
      <w:r>
        <w:rPr>
          <w:rFonts w:ascii="Times New Roman" w:cs="Times New Roman" w:eastAsia="Times New Roman" w:hAnsi="Times New Roman"/>
          <w:i/>
          <w:iCs/>
          <w:sz w:val="24"/>
          <w:szCs w:val="24"/>
        </w:rPr>
        <w:t xml:space="preserve">F</w:t>
      </w:r>
      <w:r>
        <w:rPr>
          <w:rFonts w:ascii="Times New Roman" w:cs="Times New Roman" w:eastAsia="Times New Roman" w:hAnsi="Times New Roman"/>
          <w:i w:val="false"/>
          <w:iCs w:val="false"/>
          <w:sz w:val="24"/>
          <w:szCs w:val="24"/>
          <w:vertAlign w:val="subscript"/>
        </w:rPr>
        <w:t xml:space="preserve">p</w:t>
      </w:r>
      <w:r>
        <w:rPr>
          <w:rFonts w:ascii="Times New Roman" w:cs="Times New Roman" w:eastAsia="Times New Roman" w:hAnsi="Times New Roman"/>
          <w:sz w:val="24"/>
          <w:szCs w:val="24"/>
        </w:rPr>
        <w:t xml:space="preserve"> the volume pinning force, and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q</w:t>
      </w:r>
      <w:r>
        <w:rPr>
          <w:rFonts w:ascii="Times New Roman" w:cs="Times New Roman" w:eastAsia="Times New Roman" w:hAnsi="Times New Roman"/>
          <w:sz w:val="24"/>
          <w:szCs w:val="24"/>
        </w:rPr>
        <w:t xml:space="preserve"> the pinning-mechanism exponents. Equation (2) retains the reduced-scale structure of these expressions while replacing the mechanism-specific exponents with a single fitted β per axis. It is therefore an empirical aggregation form for heterogeneous literature rather than a microscopic theory of vortex pinning, and we do not interpret β as a pinning-mechanism exponent.</w:t>
      </w:r>
    </w:p>
    <w:p>
      <w:pPr>
        <w:spacing w:after="0" w:line="480"/>
        <w:ind w:firstLine="431"/>
        <w:jc w:val="both"/>
      </w:pPr>
      <w:r>
        <w:rPr>
          <w:rFonts w:ascii="Times New Roman" w:cs="Times New Roman" w:eastAsia="Times New Roman" w:hAnsi="Times New Roman"/>
          <w:i/>
          <w:iCs/>
          <w:sz w:val="24"/>
          <w:szCs w:val="24"/>
        </w:rPr>
        <w:t xml:space="preserve">The field term uses a temperature-independent critical scale, by design.</w:t>
      </w:r>
      <w:r>
        <w:rPr>
          <w:rFonts w:ascii="Times New Roman" w:cs="Times New Roman" w:eastAsia="Times New Roman" w:hAnsi="Times New Roman"/>
          <w:sz w:val="24"/>
          <w:szCs w:val="24"/>
        </w:rPr>
        <w:t xml:space="preserve"> In Eq. (2), the field-axis critical scale is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c2,0</w:t>
      </w:r>
      <w:r>
        <w:rPr>
          <w:rFonts w:ascii="Times New Roman" w:cs="Times New Roman" w:eastAsia="Times New Roman" w:hAnsi="Times New Roman"/>
          <w:sz w:val="24"/>
          <w:szCs w:val="24"/>
        </w:rPr>
        <w:t xml:space="preserve">, the zero-temperature upper critical field, and it does not vary with the measurement temperature.</w:t>
      </w:r>
    </w:p>
    <w:p>
      <w:pPr>
        <w:spacing w:after="0" w:line="480"/>
        <w:ind w:firstLine="431"/>
        <w:jc w:val="both"/>
      </w:pPr>
      <w:r>
        <w:rPr>
          <w:rFonts w:ascii="Times New Roman" w:cs="Times New Roman" w:eastAsia="Times New Roman" w:hAnsi="Times New Roman"/>
          <w:sz w:val="24"/>
          <w:szCs w:val="24"/>
        </w:rPr>
        <w:t xml:space="preserve">The upper critical field is strongly temperature-dependent. In the dirty limit its behavior follows the Werthamer-Helfand-Hohenberg relation </w:t>
      </w:r>
      <w:r>
        <w:rPr>
          <w:rFonts w:ascii="Times New Roman" w:cs="Times New Roman" w:eastAsia="Times New Roman" w:hAnsi="Times New Roman"/>
          <w:sz w:val="24"/>
          <w:szCs w:val="24"/>
        </w:rPr>
        <w:t xml:space="preserve">[11]</w:t>
      </w:r>
      <w:r>
        <w:rPr>
          <w:rFonts w:ascii="Times New Roman" w:cs="Times New Roman" w:eastAsia="Times New Roman" w:hAnsi="Times New Roman"/>
          <w:sz w:val="24"/>
          <w:szCs w:val="24"/>
        </w:rPr>
        <w:t xml:space="preserve">, with </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ψ the digamma function, and </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 the reduced field,</w:t>
      </w:r>
    </w:p>
    <w:p>
      <w:pPr>
        <w:tabs>
          <w:tab w:val="center" w:pos="4680"/>
          <w:tab w:val="right" w:pos="9360"/>
        </w:tabs>
        <w:spacing w:after="240" w:before="240" w:line="240"/>
        <w:jc w:val="left"/>
      </w:pPr>
      <w:r>
        <w:rPr>
          <w:rFonts w:ascii="Times New Roman" w:cs="Times New Roman" w:eastAsia="Times New Roman" w:hAnsi="Times New Roman"/>
          <w:sz w:val="24"/>
          <w:szCs w:val="24"/>
        </w:rPr>
        <w:t xml:space="preserve">	</w:t>
      </w:r>
      <m:oMath>
        <m:r>
          <m:rPr>
            <m:sty m:val="p"/>
          </m:rPr>
          <m:t>ln</m:t>
        </m:r>
        <m:f>
          <m:fPr>
            <m:type m:val="bar"/>
          </m:fPr>
          <m:num>
            <m:r>
              <m:t>1</m:t>
            </m:r>
          </m:num>
          <m:den>
            <m:r>
              <m:t>t</m:t>
            </m:r>
          </m:den>
        </m:f>
        <m:r>
          <m:rPr>
            <m:sty m:val="p"/>
          </m:rPr>
          <m:t>=</m:t>
        </m:r>
        <m:r>
          <m:t>ψ</m:t>
        </m:r>
        <m:r>
          <m:t>​</m:t>
        </m:r>
        <m:d>
          <m:dPr>
            <m:begChr m:val="("/>
            <m:sepChr m:val=""/>
            <m:endChr m:val=")"/>
            <m:grow/>
          </m:dPr>
          <m:e>
            <m:f>
              <m:fPr>
                <m:type m:val="bar"/>
              </m:fPr>
              <m:num>
                <m:r>
                  <m:t>1</m:t>
                </m:r>
              </m:num>
              <m:den>
                <m:r>
                  <m:t>2</m:t>
                </m:r>
              </m:den>
            </m:f>
            <m:r>
              <m:rPr>
                <m:sty m:val="p"/>
              </m:rPr>
              <m:t>+</m:t>
            </m:r>
            <m:f>
              <m:fPr>
                <m:type m:val="bar"/>
              </m:fPr>
              <m:num>
                <m:acc>
                  <m:accPr>
                    <m:chr m:val="‾"/>
                  </m:accPr>
                  <m:e>
                    <m:r>
                      <m:t>h</m:t>
                    </m:r>
                  </m:e>
                </m:acc>
              </m:num>
              <m:den>
                <m:r>
                  <m:t>2</m:t>
                </m:r>
                <m:r>
                  <m:t>t</m:t>
                </m:r>
              </m:den>
            </m:f>
          </m:e>
        </m:d>
        <m:r>
          <m:rPr>
            <m:sty m:val="p"/>
          </m:rPr>
          <m:t>−</m:t>
        </m:r>
        <m:r>
          <m:t>ψ</m:t>
        </m:r>
        <m:r>
          <m:t>​</m:t>
        </m:r>
        <m:d>
          <m:dPr>
            <m:begChr m:val="("/>
            <m:sepChr m:val=""/>
            <m:endChr m:val=")"/>
            <m:grow/>
          </m:dPr>
          <m:e>
            <m:f>
              <m:fPr>
                <m:type m:val="bar"/>
              </m:fPr>
              <m:num>
                <m:r>
                  <m:t>1</m:t>
                </m:r>
              </m:num>
              <m:den>
                <m:r>
                  <m:t>2</m:t>
                </m:r>
              </m:den>
            </m:f>
          </m:e>
        </m:d>
        <m:r>
          <m:rPr>
            <m:sty m:val="p"/>
          </m:rPr>
          <m:t>,</m:t>
        </m:r>
        <m:r>
          <m:t> </m:t>
        </m:r>
        <m:acc>
          <m:accPr>
            <m:chr m:val="‾"/>
          </m:accPr>
          <m:e>
            <m:r>
              <m:t>h</m:t>
            </m:r>
          </m:e>
        </m:acc>
        <m:r>
          <m:rPr>
            <m:sty m:val="p"/>
          </m:rPr>
          <m:t>=</m:t>
        </m:r>
        <m:f>
          <m:fPr>
            <m:type m:val="bar"/>
          </m:fPr>
          <m:num>
            <m:r>
              <m:t>4</m:t>
            </m:r>
          </m:num>
          <m:den>
            <m:sSup>
              <m:e>
                <m:r>
                  <m:t>π</m:t>
                </m:r>
              </m:e>
              <m:sup>
                <m:r>
                  <m:t>2</m:t>
                </m:r>
              </m:sup>
            </m:sSup>
          </m:den>
        </m:f>
        <m:r>
          <m:t> </m:t>
        </m:r>
        <m:f>
          <m:fPr>
            <m:type m:val="bar"/>
          </m:fPr>
          <m:num>
            <m:sSub>
              <m:e>
                <m:r>
                  <m:t>H</m:t>
                </m:r>
              </m:e>
              <m:sub>
                <m:r>
                  <m:t>c</m:t>
                </m:r>
                <m:r>
                  <m:t>2</m:t>
                </m:r>
              </m:sub>
            </m:sSub>
            <m:d>
              <m:dPr>
                <m:begChr m:val="("/>
                <m:sepChr m:val=""/>
                <m:endChr m:val=")"/>
                <m:grow/>
              </m:dPr>
              <m:e>
                <m:r>
                  <m:t>T</m:t>
                </m:r>
              </m:e>
            </m:d>
          </m:num>
          <m:den>
            <m:sSub>
              <m:e>
                <m:r>
                  <m:t>T</m:t>
                </m:r>
              </m:e>
              <m:sub>
                <m:r>
                  <m:t>c</m:t>
                </m:r>
              </m:sub>
            </m:sSub>
            <m:r>
              <m:t> </m:t>
            </m:r>
            <m:sSub>
              <m:e>
                <m:d>
                  <m:dPr>
                    <m:begChr m:val="|"/>
                    <m:sepChr m:val=""/>
                    <m:endChr m:val="|"/>
                    <m:grow/>
                  </m:dPr>
                  <m:e>
                    <m:r>
                      <m:t>d</m:t>
                    </m:r>
                    <m:sSub>
                      <m:e>
                        <m:r>
                          <m:t>H</m:t>
                        </m:r>
                      </m:e>
                      <m:sub>
                        <m:r>
                          <m:t>c</m:t>
                        </m:r>
                        <m:r>
                          <m:t>2</m:t>
                        </m:r>
                      </m:sub>
                    </m:sSub>
                    <m:r>
                      <m:rPr>
                        <m:sty m:val="p"/>
                      </m:rPr>
                      <m:t>/</m:t>
                    </m:r>
                    <m:r>
                      <m:t>d</m:t>
                    </m:r>
                    <m:r>
                      <m:t>T</m:t>
                    </m:r>
                  </m:e>
                </m:d>
              </m:e>
              <m:sub>
                <m:sSub>
                  <m:e>
                    <m:r>
                      <m:t>T</m:t>
                    </m:r>
                  </m:e>
                  <m:sub>
                    <m:r>
                      <m:t>c</m:t>
                    </m:r>
                  </m:sub>
                </m:sSub>
              </m:sub>
            </m:sSub>
          </m:den>
        </m:f>
        <m:r>
          <m:rPr>
            <m:sty m:val="p"/>
          </m:rPr>
          <m:t>,</m:t>
        </m:r>
        <m:r>
          <m:t> </m:t>
        </m:r>
        <m:sSub>
          <m:e>
            <m:r>
              <m:t>H</m:t>
            </m:r>
          </m:e>
          <m:sub>
            <m:r>
              <m:t>c</m:t>
            </m:r>
            <m:r>
              <m:t>2</m:t>
            </m:r>
          </m:sub>
        </m:sSub>
        <m:d>
          <m:dPr>
            <m:begChr m:val="("/>
            <m:sepChr m:val=""/>
            <m:endChr m:val=")"/>
            <m:grow/>
          </m:dPr>
          <m:e>
            <m:r>
              <m:t>0</m:t>
            </m:r>
          </m:e>
        </m:d>
        <m:r>
          <m:rPr>
            <m:sty m:val="p"/>
          </m:rPr>
          <m:t>=</m:t>
        </m:r>
        <m:r>
          <m:t>0.693</m:t>
        </m:r>
        <m:r>
          <m:t> </m:t>
        </m:r>
        <m:sSub>
          <m:e>
            <m:r>
              <m:t>T</m:t>
            </m:r>
          </m:e>
          <m:sub>
            <m:r>
              <m:t>c</m:t>
            </m:r>
          </m:sub>
        </m:sSub>
        <m:sSub>
          <m:e>
            <m:d>
              <m:dPr>
                <m:begChr m:val="|"/>
                <m:sepChr m:val=""/>
                <m:endChr m:val="|"/>
                <m:grow/>
              </m:dPr>
              <m:e>
                <m:f>
                  <m:fPr>
                    <m:type m:val="bar"/>
                  </m:fPr>
                  <m:num>
                    <m:r>
                      <m:t>d</m:t>
                    </m:r>
                    <m:sSub>
                      <m:e>
                        <m:r>
                          <m:t>H</m:t>
                        </m:r>
                      </m:e>
                      <m:sub>
                        <m:r>
                          <m:t>c</m:t>
                        </m:r>
                        <m:r>
                          <m:t>2</m:t>
                        </m:r>
                      </m:sub>
                    </m:sSub>
                  </m:num>
                  <m:den>
                    <m:r>
                      <m:t>d</m:t>
                    </m:r>
                    <m:r>
                      <m:t>T</m:t>
                    </m:r>
                  </m:den>
                </m:f>
              </m:e>
            </m:d>
          </m:e>
          <m:sub>
            <m:sSub>
              <m:e>
                <m:r>
                  <m:t>T</m:t>
                </m:r>
              </m:e>
              <m:sub>
                <m:r>
                  <m:t>c</m:t>
                </m:r>
              </m:sub>
            </m:sSub>
          </m:sub>
        </m:sSub>
      </m:oMath>
      <w:r>
        <w:rPr>
          <w:rFonts w:ascii="Times New Roman" w:cs="Times New Roman" w:eastAsia="Times New Roman" w:hAnsi="Times New Roman"/>
          <w:sz w:val="24"/>
          <w:szCs w:val="24"/>
        </w:rPr>
        <w:t xml:space="preserve">	(4)</w:t>
      </w:r>
    </w:p>
    <w:p>
      <w:pPr>
        <w:spacing w:after="0" w:line="480"/>
        <w:ind w:firstLine="431"/>
        <w:jc w:val="both"/>
      </w:pPr>
      <w:r>
        <w:rPr>
          <w:rFonts w:ascii="Times New Roman" w:cs="Times New Roman" w:eastAsia="Times New Roman" w:hAnsi="Times New Roman"/>
          <w:sz w:val="24"/>
          <w:szCs w:val="24"/>
        </w:rPr>
        <w:t xml:space="preserve">Over the reduced-temperature range spanned by this corpus the WHH curve falls by roughly a factor of seven, so holding the field scale fixed across measurement temperatures is not a small approximation. A field-axis fit performed at fixed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c2,0</w:t>
      </w:r>
      <w:r>
        <w:rPr>
          <w:rFonts w:ascii="Times New Roman" w:cs="Times New Roman" w:eastAsia="Times New Roman" w:hAnsi="Times New Roman"/>
          <w:sz w:val="24"/>
          <w:szCs w:val="24"/>
        </w:rPr>
        <w:t xml:space="preserve"> across a range of measurement temperatures therefore does not cleanly separate the temperature and field dependences. Form 3 makes this simplification deliberately, and we state it explicitly because it is the point at which the expression departs from established physics.</w:t>
      </w:r>
    </w:p>
    <w:p>
      <w:pPr>
        <w:spacing w:after="0" w:line="480"/>
        <w:ind w:firstLine="431"/>
        <w:jc w:val="both"/>
      </w:pPr>
      <w:r>
        <w:rPr>
          <w:rFonts w:ascii="Times New Roman" w:cs="Times New Roman" w:eastAsia="Times New Roman" w:hAnsi="Times New Roman"/>
          <w:sz w:val="24"/>
          <w:szCs w:val="24"/>
        </w:rPr>
        <w:t xml:space="preserve">The expression was chosen from three candidate forms, written here in full so that the comparison reported below can be read directly. All three are in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space, and α = 0.047 is a fixed field-decay coefficient carried over from the existing calibration:</w:t>
      </w:r>
    </w:p>
    <w:p>
      <w:pPr>
        <w:tabs>
          <w:tab w:val="center" w:pos="4680"/>
          <w:tab w:val="right" w:pos="9360"/>
        </w:tabs>
        <w:spacing w:after="240" w:before="240" w:line="240"/>
        <w:jc w:val="left"/>
      </w:pPr>
      <w:r>
        <w:rPr>
          <w:rFonts w:ascii="Times New Roman" w:cs="Times New Roman" w:eastAsia="Times New Roman" w:hAnsi="Times New Roman"/>
          <w:sz w:val="24"/>
          <w:szCs w:val="24"/>
        </w:rPr>
        <w:t xml:space="preserve">	</w:t>
      </w:r>
      <m:oMath>
        <m:sSub>
          <m:e>
            <m:r>
              <m:rPr>
                <m:sty m:val="p"/>
              </m:rPr>
              <m:t>log</m:t>
            </m:r>
          </m:e>
          <m:sub>
            <m:r>
              <m:t>10</m:t>
            </m:r>
          </m:sub>
        </m:sSub>
        <m:sSub>
          <m:e>
            <m:r>
              <m:t>J</m:t>
            </m:r>
          </m:e>
          <m:sub>
            <m:r>
              <m:t>c</m:t>
            </m:r>
          </m:sub>
        </m:sSub>
        <m:r>
          <m:rPr>
            <m:sty m:val="p"/>
          </m:rPr>
          <m:t>=</m:t>
        </m:r>
        <m:sSub>
          <m:e>
            <m:r>
              <m:rPr>
                <m:sty m:val="p"/>
              </m:rPr>
              <m:t>log</m:t>
            </m:r>
          </m:e>
          <m:sub>
            <m:r>
              <m:t>10</m:t>
            </m:r>
          </m:sub>
        </m:sSub>
        <m:sSub>
          <m:e>
            <m:r>
              <m:t>J</m:t>
            </m:r>
          </m:e>
          <m:sub>
            <m:r>
              <m:t>c</m:t>
            </m:r>
            <m:r>
              <m:rPr>
                <m:sty m:val="p"/>
              </m:rPr>
              <m:t>,</m:t>
            </m:r>
            <m:r>
              <m:t>0</m:t>
            </m:r>
          </m:sub>
        </m:sSub>
        <m:r>
          <m:rPr>
            <m:sty m:val="p"/>
          </m:rPr>
          <m:t>+</m:t>
        </m:r>
        <m:r>
          <m:t>β</m:t>
        </m:r>
        <m:r>
          <m:t> </m:t>
        </m:r>
        <m:sSub>
          <m:e>
            <m:r>
              <m:rPr>
                <m:sty m:val="p"/>
              </m:rPr>
              <m:t>log</m:t>
            </m:r>
          </m:e>
          <m:sub>
            <m:r>
              <m:t>10</m:t>
            </m:r>
          </m:sub>
        </m:sSub>
        <m:r>
          <m:t>​</m:t>
        </m:r>
        <m:d>
          <m:dPr>
            <m:begChr m:val="("/>
            <m:sepChr m:val=""/>
            <m:endChr m:val=")"/>
            <m:grow/>
          </m:dPr>
          <m:e>
            <m:r>
              <m:t>1</m:t>
            </m:r>
            <m:r>
              <m:rPr>
                <m:sty m:val="p"/>
              </m:rPr>
              <m:t>−</m:t>
            </m:r>
            <m:f>
              <m:fPr>
                <m:type m:val="bar"/>
              </m:fPr>
              <m:num>
                <m:r>
                  <m:t>T</m:t>
                </m:r>
              </m:num>
              <m:den>
                <m:sSub>
                  <m:e>
                    <m:r>
                      <m:t>T</m:t>
                    </m:r>
                  </m:e>
                  <m:sub>
                    <m:r>
                      <m:t>c</m:t>
                    </m:r>
                  </m:sub>
                </m:sSub>
              </m:den>
            </m:f>
          </m:e>
        </m:d>
        <m:r>
          <m:rPr>
            <m:sty m:val="p"/>
          </m:rPr>
          <m:t>−</m:t>
        </m:r>
        <m:r>
          <m:t>α</m:t>
        </m:r>
        <m:r>
          <m:t> </m:t>
        </m:r>
        <m:sSub>
          <m:e>
            <m:r>
              <m:rPr>
                <m:sty m:val="p"/>
              </m:rPr>
              <m:t>log</m:t>
            </m:r>
          </m:e>
          <m:sub>
            <m:r>
              <m:t>10</m:t>
            </m:r>
          </m:sub>
        </m:sSub>
        <m:r>
          <m:rPr>
            <m:sty m:val="p"/>
          </m:rPr>
          <m:t>max</m:t>
        </m:r>
        <m:d>
          <m:dPr>
            <m:begChr m:val="("/>
            <m:sepChr m:val=""/>
            <m:endChr m:val=")"/>
            <m:grow/>
          </m:dPr>
          <m:e>
            <m:r>
              <m:t>H</m:t>
            </m:r>
            <m:r>
              <m:rPr>
                <m:sty m:val="p"/>
              </m:rPr>
              <m:t>,</m:t>
            </m:r>
            <m:r>
              <m:t>ε</m:t>
            </m:r>
          </m:e>
        </m:d>
      </m:oMath>
      <w:r>
        <w:rPr>
          <w:rFonts w:ascii="Times New Roman" w:cs="Times New Roman" w:eastAsia="Times New Roman" w:hAnsi="Times New Roman"/>
          <w:sz w:val="24"/>
          <w:szCs w:val="24"/>
        </w:rPr>
        <w:t xml:space="preserve">	(5)</w:t>
      </w:r>
    </w:p>
    <w:p>
      <w:pPr>
        <w:tabs>
          <w:tab w:val="center" w:pos="4680"/>
          <w:tab w:val="right" w:pos="9360"/>
        </w:tabs>
        <w:spacing w:after="240" w:before="240" w:line="240"/>
        <w:jc w:val="left"/>
      </w:pPr>
      <w:r>
        <w:rPr>
          <w:rFonts w:ascii="Times New Roman" w:cs="Times New Roman" w:eastAsia="Times New Roman" w:hAnsi="Times New Roman"/>
          <w:sz w:val="24"/>
          <w:szCs w:val="24"/>
        </w:rPr>
        <w:t xml:space="preserve">	</w:t>
      </w:r>
      <m:oMath>
        <m:sSub>
          <m:e>
            <m:r>
              <m:rPr>
                <m:sty m:val="p"/>
              </m:rPr>
              <m:t>log</m:t>
            </m:r>
          </m:e>
          <m:sub>
            <m:r>
              <m:t>10</m:t>
            </m:r>
          </m:sub>
        </m:sSub>
        <m:sSub>
          <m:e>
            <m:r>
              <m:t>J</m:t>
            </m:r>
          </m:e>
          <m:sub>
            <m:r>
              <m:t>c</m:t>
            </m:r>
          </m:sub>
        </m:sSub>
        <m:r>
          <m:rPr>
            <m:sty m:val="p"/>
          </m:rPr>
          <m:t>=</m:t>
        </m:r>
        <m:sSub>
          <m:e>
            <m:r>
              <m:rPr>
                <m:sty m:val="p"/>
              </m:rPr>
              <m:t>log</m:t>
            </m:r>
          </m:e>
          <m:sub>
            <m:r>
              <m:t>10</m:t>
            </m:r>
          </m:sub>
        </m:sSub>
        <m:sSub>
          <m:e>
            <m:r>
              <m:t>J</m:t>
            </m:r>
          </m:e>
          <m:sub>
            <m:r>
              <m:t>c</m:t>
            </m:r>
            <m:r>
              <m:rPr>
                <m:sty m:val="p"/>
              </m:rPr>
              <m:t>,</m:t>
            </m:r>
            <m:r>
              <m:t>0</m:t>
            </m:r>
          </m:sub>
        </m:sSub>
        <m:r>
          <m:rPr>
            <m:sty m:val="p"/>
          </m:rPr>
          <m:t>+</m:t>
        </m:r>
        <m:r>
          <m:t>β</m:t>
        </m:r>
        <m:r>
          <m:t> </m:t>
        </m:r>
        <m:sSub>
          <m:e>
            <m:r>
              <m:rPr>
                <m:sty m:val="p"/>
              </m:rPr>
              <m:t>log</m:t>
            </m:r>
          </m:e>
          <m:sub>
            <m:r>
              <m:t>10</m:t>
            </m:r>
          </m:sub>
        </m:sSub>
        <m:r>
          <m:t>​</m:t>
        </m:r>
        <m:d>
          <m:dPr>
            <m:begChr m:val="("/>
            <m:sepChr m:val=""/>
            <m:endChr m:val=")"/>
            <m:grow/>
          </m:dPr>
          <m:e>
            <m:r>
              <m:t>1</m:t>
            </m:r>
            <m:r>
              <m:rPr>
                <m:sty m:val="p"/>
              </m:rPr>
              <m:t>−</m:t>
            </m:r>
            <m:f>
              <m:fPr>
                <m:type m:val="bar"/>
              </m:fPr>
              <m:num>
                <m:r>
                  <m:t>T</m:t>
                </m:r>
              </m:num>
              <m:den>
                <m:sSub>
                  <m:e>
                    <m:r>
                      <m:t>T</m:t>
                    </m:r>
                  </m:e>
                  <m:sub>
                    <m:r>
                      <m:t>c</m:t>
                    </m:r>
                  </m:sub>
                </m:sSub>
              </m:den>
            </m:f>
          </m:e>
        </m:d>
        <m:r>
          <m:rPr>
            <m:sty m:val="p"/>
          </m:rPr>
          <m:t>+</m:t>
        </m:r>
        <m:r>
          <m:t>γ</m:t>
        </m:r>
        <m:r>
          <m:t> </m:t>
        </m:r>
        <m:sSub>
          <m:e>
            <m:r>
              <m:rPr>
                <m:sty m:val="p"/>
              </m:rPr>
              <m:t>log</m:t>
            </m:r>
          </m:e>
          <m:sub>
            <m:r>
              <m:t>10</m:t>
            </m:r>
          </m:sub>
        </m:sSub>
        <m:r>
          <m:t>​</m:t>
        </m:r>
        <m:d>
          <m:dPr>
            <m:begChr m:val="("/>
            <m:sepChr m:val=""/>
            <m:endChr m:val=")"/>
            <m:grow/>
          </m:dPr>
          <m:e>
            <m:r>
              <m:t>1</m:t>
            </m:r>
            <m:r>
              <m:rPr>
                <m:sty m:val="p"/>
              </m:rPr>
              <m:t>−</m:t>
            </m:r>
            <m:f>
              <m:fPr>
                <m:type m:val="bar"/>
              </m:fPr>
              <m:num>
                <m:r>
                  <m:t>H</m:t>
                </m:r>
              </m:num>
              <m:den>
                <m:sSub>
                  <m:e>
                    <m:r>
                      <m:t>H</m:t>
                    </m:r>
                  </m:e>
                  <m:sub>
                    <m:r>
                      <m:t>c</m:t>
                    </m:r>
                    <m:r>
                      <m:t>2</m:t>
                    </m:r>
                  </m:sub>
                </m:sSub>
                <m:d>
                  <m:dPr>
                    <m:begChr m:val="("/>
                    <m:sepChr m:val=""/>
                    <m:endChr m:val=")"/>
                    <m:grow/>
                  </m:dPr>
                  <m:e>
                    <m:r>
                      <m:t>T</m:t>
                    </m:r>
                  </m:e>
                </m:d>
              </m:den>
            </m:f>
          </m:e>
        </m:d>
        <m:r>
          <m:rPr>
            <m:sty m:val="p"/>
          </m:rPr>
          <m:t>,</m:t>
        </m:r>
        <m:r>
          <m:t> </m:t>
        </m:r>
        <m:sSub>
          <m:e>
            <m:r>
              <m:t>H</m:t>
            </m:r>
          </m:e>
          <m:sub>
            <m:r>
              <m:t>c</m:t>
            </m:r>
            <m:r>
              <m:t>2</m:t>
            </m:r>
          </m:sub>
        </m:sSub>
        <m:d>
          <m:dPr>
            <m:begChr m:val="("/>
            <m:sepChr m:val=""/>
            <m:endChr m:val=")"/>
            <m:grow/>
          </m:dPr>
          <m:e>
            <m:r>
              <m:t>T</m:t>
            </m:r>
          </m:e>
        </m:d>
        <m:r>
          <m:rPr>
            <m:sty m:val="p"/>
          </m:rPr>
          <m:t>=</m:t>
        </m:r>
        <m:sSub>
          <m:e>
            <m:r>
              <m:t>H</m:t>
            </m:r>
          </m:e>
          <m:sub>
            <m:r>
              <m:t>c</m:t>
            </m:r>
            <m:r>
              <m:t>2</m:t>
            </m:r>
            <m:r>
              <m:rPr>
                <m:sty m:val="p"/>
              </m:rPr>
              <m:t>,</m:t>
            </m:r>
            <m:r>
              <m:t>0</m:t>
            </m:r>
          </m:sub>
        </m:sSub>
        <m:r>
          <m:t>​</m:t>
        </m:r>
        <m:d>
          <m:dPr>
            <m:begChr m:val="("/>
            <m:sepChr m:val=""/>
            <m:endChr m:val=")"/>
            <m:grow/>
          </m:dPr>
          <m:e>
            <m:r>
              <m:t>1</m:t>
            </m:r>
            <m:r>
              <m:rPr>
                <m:sty m:val="p"/>
              </m:rPr>
              <m:t>−</m:t>
            </m:r>
            <m:f>
              <m:fPr>
                <m:type m:val="bar"/>
              </m:fPr>
              <m:num>
                <m:r>
                  <m:t>T</m:t>
                </m:r>
              </m:num>
              <m:den>
                <m:sSub>
                  <m:e>
                    <m:r>
                      <m:t>T</m:t>
                    </m:r>
                  </m:e>
                  <m:sub>
                    <m:r>
                      <m:t>c</m:t>
                    </m:r>
                  </m:sub>
                </m:sSub>
              </m:den>
            </m:f>
          </m:e>
        </m:d>
      </m:oMath>
      <w:r>
        <w:rPr>
          <w:rFonts w:ascii="Times New Roman" w:cs="Times New Roman" w:eastAsia="Times New Roman" w:hAnsi="Times New Roman"/>
          <w:sz w:val="24"/>
          <w:szCs w:val="24"/>
        </w:rPr>
        <w:t xml:space="preserve">	(6)</w:t>
      </w:r>
    </w:p>
    <w:p>
      <w:pPr>
        <w:tabs>
          <w:tab w:val="center" w:pos="4680"/>
          <w:tab w:val="right" w:pos="9360"/>
        </w:tabs>
        <w:spacing w:after="240" w:before="240" w:line="240"/>
        <w:jc w:val="left"/>
      </w:pPr>
      <w:r>
        <w:rPr>
          <w:rFonts w:ascii="Times New Roman" w:cs="Times New Roman" w:eastAsia="Times New Roman" w:hAnsi="Times New Roman"/>
          <w:sz w:val="24"/>
          <w:szCs w:val="24"/>
        </w:rPr>
        <w:t xml:space="preserve">	</w:t>
      </w:r>
      <m:oMath>
        <m:sSub>
          <m:e>
            <m:r>
              <m:rPr>
                <m:sty m:val="p"/>
              </m:rPr>
              <m:t>log</m:t>
            </m:r>
          </m:e>
          <m:sub>
            <m:r>
              <m:t>10</m:t>
            </m:r>
          </m:sub>
        </m:sSub>
        <m:sSub>
          <m:e>
            <m:r>
              <m:t>J</m:t>
            </m:r>
          </m:e>
          <m:sub>
            <m:r>
              <m:t>c</m:t>
            </m:r>
          </m:sub>
        </m:sSub>
        <m:r>
          <m:rPr>
            <m:sty m:val="p"/>
          </m:rPr>
          <m:t>=</m:t>
        </m:r>
        <m:sSub>
          <m:e>
            <m:r>
              <m:rPr>
                <m:sty m:val="p"/>
              </m:rPr>
              <m:t>log</m:t>
            </m:r>
          </m:e>
          <m:sub>
            <m:r>
              <m:t>10</m:t>
            </m:r>
          </m:sub>
        </m:sSub>
        <m:sSub>
          <m:e>
            <m:r>
              <m:t>J</m:t>
            </m:r>
          </m:e>
          <m:sub>
            <m:r>
              <m:t>c</m:t>
            </m:r>
            <m:r>
              <m:rPr>
                <m:sty m:val="p"/>
              </m:rPr>
              <m:t>,</m:t>
            </m:r>
            <m:r>
              <m:t>0</m:t>
            </m:r>
          </m:sub>
        </m:sSub>
        <m:r>
          <m:rPr>
            <m:sty m:val="p"/>
          </m:rPr>
          <m:t>+</m:t>
        </m:r>
        <m:sSub>
          <m:e>
            <m:r>
              <m:t>β</m:t>
            </m:r>
          </m:e>
          <m:sub>
            <m:r>
              <m:t>T</m:t>
            </m:r>
          </m:sub>
        </m:sSub>
        <m:r>
          <m:t> </m:t>
        </m:r>
        <m:sSub>
          <m:e>
            <m:r>
              <m:rPr>
                <m:sty m:val="p"/>
              </m:rPr>
              <m:t>log</m:t>
            </m:r>
          </m:e>
          <m:sub>
            <m:r>
              <m:t>10</m:t>
            </m:r>
          </m:sub>
        </m:sSub>
        <m:r>
          <m:t>​</m:t>
        </m:r>
        <m:d>
          <m:dPr>
            <m:begChr m:val="("/>
            <m:sepChr m:val=""/>
            <m:endChr m:val=")"/>
            <m:grow/>
          </m:dPr>
          <m:e>
            <m:r>
              <m:t>1</m:t>
            </m:r>
            <m:r>
              <m:rPr>
                <m:sty m:val="p"/>
              </m:rPr>
              <m:t>−</m:t>
            </m:r>
            <m:f>
              <m:fPr>
                <m:type m:val="bar"/>
              </m:fPr>
              <m:num>
                <m:r>
                  <m:t>T</m:t>
                </m:r>
              </m:num>
              <m:den>
                <m:sSub>
                  <m:e>
                    <m:r>
                      <m:t>T</m:t>
                    </m:r>
                  </m:e>
                  <m:sub>
                    <m:r>
                      <m:t>c</m:t>
                    </m:r>
                  </m:sub>
                </m:sSub>
              </m:den>
            </m:f>
          </m:e>
        </m:d>
        <m:r>
          <m:rPr>
            <m:sty m:val="p"/>
          </m:rPr>
          <m:t>+</m:t>
        </m:r>
        <m:sSub>
          <m:e>
            <m:r>
              <m:t>β</m:t>
            </m:r>
          </m:e>
          <m:sub>
            <m:r>
              <m:t>H</m:t>
            </m:r>
          </m:sub>
        </m:sSub>
        <m:r>
          <m:t> </m:t>
        </m:r>
        <m:sSub>
          <m:e>
            <m:r>
              <m:rPr>
                <m:sty m:val="p"/>
              </m:rPr>
              <m:t>log</m:t>
            </m:r>
          </m:e>
          <m:sub>
            <m:r>
              <m:t>10</m:t>
            </m:r>
          </m:sub>
        </m:sSub>
        <m:r>
          <m:t>​</m:t>
        </m:r>
        <m:d>
          <m:dPr>
            <m:begChr m:val="("/>
            <m:sepChr m:val=""/>
            <m:endChr m:val=")"/>
            <m:grow/>
          </m:dPr>
          <m:e>
            <m:r>
              <m:t>1</m:t>
            </m:r>
            <m:r>
              <m:rPr>
                <m:sty m:val="p"/>
              </m:rPr>
              <m:t>−</m:t>
            </m:r>
            <m:f>
              <m:fPr>
                <m:type m:val="bar"/>
              </m:fPr>
              <m:num>
                <m:r>
                  <m:t>H</m:t>
                </m:r>
              </m:num>
              <m:den>
                <m:sSub>
                  <m:e>
                    <m:r>
                      <m:t>H</m:t>
                    </m:r>
                  </m:e>
                  <m:sub>
                    <m:r>
                      <m:t>c</m:t>
                    </m:r>
                    <m:r>
                      <m:t>2</m:t>
                    </m:r>
                    <m:r>
                      <m:rPr>
                        <m:sty m:val="p"/>
                      </m:rPr>
                      <m:t>,</m:t>
                    </m:r>
                    <m:r>
                      <m:t>0</m:t>
                    </m:r>
                  </m:sub>
                </m:sSub>
              </m:den>
            </m:f>
          </m:e>
        </m:d>
      </m:oMath>
      <w:r>
        <w:rPr>
          <w:rFonts w:ascii="Times New Roman" w:cs="Times New Roman" w:eastAsia="Times New Roman" w:hAnsi="Times New Roman"/>
          <w:sz w:val="24"/>
          <w:szCs w:val="24"/>
        </w:rPr>
        <w:t xml:space="preserve">	(7)</w:t>
      </w:r>
    </w:p>
    <w:p>
      <w:pPr>
        <w:spacing w:after="0" w:line="480"/>
        <w:ind w:firstLine="431"/>
        <w:jc w:val="both"/>
      </w:pPr>
      <w:r>
        <w:rPr>
          <w:rFonts w:ascii="Times New Roman" w:cs="Times New Roman" w:eastAsia="Times New Roman" w:hAnsi="Times New Roman"/>
          <w:sz w:val="24"/>
          <w:szCs w:val="24"/>
        </w:rPr>
        <w:t xml:space="preserve">Form 1 uses a Kim-Anderson-inspired field decay </w:t>
      </w:r>
      <w:r>
        <w:rPr>
          <w:rFonts w:ascii="Times New Roman" w:cs="Times New Roman" w:eastAsia="Times New Roman" w:hAnsi="Times New Roman"/>
          <w:sz w:val="24"/>
          <w:szCs w:val="24"/>
        </w:rPr>
        <w:t xml:space="preserve">[30]</w:t>
      </w:r>
      <w:r>
        <w:rPr>
          <w:rFonts w:ascii="Times New Roman" w:cs="Times New Roman" w:eastAsia="Times New Roman" w:hAnsi="Times New Roman"/>
          <w:sz w:val="24"/>
          <w:szCs w:val="24"/>
        </w:rPr>
        <w:t xml:space="preserve"> with the decay coefficient held fixed. Form 2 introduces a reduced field with a linear approximation to the temperature-dependent upper critical field. Form 3 fits independent temperature and field exponents against a temperature-independent field scale. We adopt Form 3 because it is the only one of the three that separates the temperature and field dependences into exponents that can be fitted and reported on each axis independently, which every later stage of this work requires. The holdout comparison supports that choice against Form 1 and does not separate it from Form 2. Scoring the three forms on identical training and holdout rows, over twenty random splits per compound, Form 3 has the lower error on 14 of 15 compounds against Form 1 under a point-level split and on 11 of 13 under a curve-level split, at exact two-sided sign probabilities of 0.001 and 0.022. Against Form 2 it leads on 11 of 15 and on 9 of 13, at 0.118 and 0.267, which is not a separation. The values in Table II, 0.597, 0.352 and 0.260 dex, were computed with a separate random split for each form and over different numbers of compounds; on the compounds all three forms can score, the margin between Forms 2 and 3 is 0.012 dex rather than 0.092. Under a source-paper holdout, in which every measurement of a held-out source is withheld, no form reaches a median error below 0.9 dex on the eight compounds drawing on more than one source. The comparison is regenerated by analysis/functional_form_comparison.py from the deposited input.</w:t>
      </w:r>
      <w:r>
        <w:rPr>
          <w:rFonts w:ascii="Times New Roman" w:cs="Times New Roman" w:eastAsia="Times New Roman" w:hAnsi="Times New Roman"/>
          <w:i w:val="false"/>
          <w:iCs w:val="false"/>
          <w:sz w:val="24"/>
          <w:szCs w:val="24"/>
          <w:vertAlign w:val="subscript"/>
        </w:rPr>
        <w:t xml:space="preserve"/>
      </w:r>
      <w:r>
        <w:rPr>
          <w:rFonts w:ascii="Times New Roman" w:cs="Times New Roman" w:eastAsia="Times New Roman" w:hAnsi="Times New Roman"/>
          <w:sz w:val="24"/>
          <w:szCs w:val="24"/>
        </w:rPr>
        <w:t xml:space="preserve"/>
      </w:r>
      <w:r>
        <w:rPr>
          <w:rFonts w:ascii="Times New Roman" w:cs="Times New Roman" w:eastAsia="Times New Roman" w:hAnsi="Times New Roman"/>
          <w:i/>
          <w:iCs/>
          <w:sz w:val="24"/>
          <w:szCs w:val="24"/>
        </w:rPr>
        <w:t xml:space="preserve"/>
      </w:r>
      <w:r>
        <w:rPr>
          <w:rFonts w:ascii="Times New Roman" w:cs="Times New Roman" w:eastAsia="Times New Roman" w:hAnsi="Times New Roman"/>
          <w:i w:val="false"/>
          <w:iCs w:val="false"/>
          <w:sz w:val="24"/>
          <w:szCs w:val="24"/>
          <w:vertAlign w:val="subscript"/>
        </w:rPr>
        <w:t xml:space="preserve"/>
      </w:r>
      <w:r>
        <w:rPr>
          <w:rFonts w:ascii="Times New Roman" w:cs="Times New Roman" w:eastAsia="Times New Roman" w:hAnsi="Times New Roman"/>
          <w:sz w:val="24"/>
          <w:szCs w:val="24"/>
        </w:rPr>
        <w:t xml:space="preserve"/>
      </w:r>
    </w:p>
    <w:p>
      <w:pPr>
        <w:spacing w:after="140" w:before="360" w:line="240"/>
        <w:jc w:val="both"/>
      </w:pPr>
      <w:r>
        <w:rPr>
          <w:rFonts w:ascii="Times New Roman" w:cs="Times New Roman" w:eastAsia="Times New Roman" w:hAnsi="Times New Roman"/>
          <w:b/>
          <w:bCs/>
          <w:sz w:val="20"/>
          <w:szCs w:val="20"/>
        </w:rPr>
        <w:t xml:space="preserve">TABLE II. Functional-form comparison on the fully fittable cohort. Median per-compound holdout mean absolute error in log10 Jc, from an 80/20 point-level split drawn within each compound. The splits were drawn separately for each form, so the three columns are not scored on the same held-out points, and the point-level split places measurements of one compound in both the training and the held-out set. Sec. II.C gives the comparison on identical rows and under holdouts that withhold whole curves and whole sources.</w:t>
      </w:r>
      <w:r>
        <w:rPr>
          <w:rFonts w:ascii="Times New Roman" w:cs="Times New Roman" w:eastAsia="Times New Roman" w:hAnsi="Times New Roman"/>
          <w:sz w:val="20"/>
          <w:szCs w:val="20"/>
        </w:rPr>
        <w:t xml:space="preserve"/>
      </w:r>
      <w:r>
        <w:rPr>
          <w:rFonts w:ascii="Times New Roman" w:cs="Times New Roman" w:eastAsia="Times New Roman" w:hAnsi="Times New Roman"/>
          <w:i w:val="false"/>
          <w:iCs w:val="false"/>
          <w:sz w:val="20"/>
          <w:szCs w:val="20"/>
          <w:vertAlign w:val="subscript"/>
        </w:rPr>
        <w:t xml:space="preserve"/>
      </w:r>
      <w:r>
        <w:rPr>
          <w:rFonts w:ascii="Times New Roman" w:cs="Times New Roman" w:eastAsia="Times New Roman" w:hAnsi="Times New Roman"/>
          <w:sz w:val="20"/>
          <w:szCs w:val="20"/>
        </w:rPr>
        <w:t xml:space="preserve"/>
      </w:r>
      <w:r>
        <w:rPr>
          <w:rFonts w:ascii="Times New Roman" w:cs="Times New Roman" w:eastAsia="Times New Roman" w:hAnsi="Times New Roman"/>
          <w:i/>
          <w:iCs/>
          <w:sz w:val="20"/>
          <w:szCs w:val="20"/>
        </w:rPr>
        <w:t xml:space="preserve"/>
      </w:r>
      <w:r>
        <w:rPr>
          <w:rFonts w:ascii="Times New Roman" w:cs="Times New Roman" w:eastAsia="Times New Roman" w:hAnsi="Times New Roman"/>
          <w:i w:val="false"/>
          <w:iCs w:val="false"/>
          <w:sz w:val="20"/>
          <w:szCs w:val="20"/>
          <w:vertAlign w:val="subscript"/>
        </w:rPr>
        <w:t xml:space="preserve"/>
      </w:r>
      <w:r>
        <w:rPr>
          <w:rFonts w:ascii="Times New Roman" w:cs="Times New Roman" w:eastAsia="Times New Roman" w:hAnsi="Times New Roman"/>
          <w:sz w:val="20"/>
          <w:szCs w:val="20"/>
        </w:rPr>
        <w:t xml:space="preserve"/>
      </w:r>
    </w:p>
    <w:tbl>
      <w:tblPr>
        <w:tblW w:type="dxa" w:w="9360"/>
        <w:tblBorders>
          <w:top w:val="double" w:sz="6"/>
          <w:left w:val="none" w:sz="0"/>
          <w:bottom w:val="double" w:sz="6"/>
          <w:right w:val="none" w:sz="0"/>
          <w:insideH w:val="none" w:sz="0"/>
          <w:insideV w:val="none" w:sz="0"/>
        </w:tblBorders>
      </w:tblPr>
      <w:tblGrid>
        <w:gridCol w:w="900"/>
        <w:gridCol w:w="2800"/>
        <w:gridCol w:w="2200"/>
        <w:gridCol w:w="1300"/>
        <w:gridCol w:w="2160"/>
      </w:tblGrid>
      <w:tr>
        <w:trPr>
          <w:tblHeader/>
        </w:trPr>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Form</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Field term</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Field scale</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Holdout MAE (dex)</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Status</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1</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−α log</w:t>
            </w:r>
            <w:r>
              <w:rPr>
                <w:rFonts w:ascii="Times New Roman" w:cs="Times New Roman" w:eastAsia="Times New Roman" w:hAnsi="Times New Roman"/>
                <w:i w:val="false"/>
                <w:iCs w:val="false"/>
                <w:sz w:val="19"/>
                <w:szCs w:val="19"/>
                <w:vertAlign w:val="subscript"/>
              </w:rPr>
              <w:t xml:space="preserve">10</w:t>
            </w:r>
            <w:r>
              <w:rPr>
                <w:rFonts w:ascii="Times New Roman" w:cs="Times New Roman" w:eastAsia="Times New Roman" w:hAnsi="Times New Roman"/>
                <w:sz w:val="19"/>
                <w:szCs w:val="19"/>
              </w:rPr>
              <w:t xml:space="preserve"> max(</w:t>
            </w:r>
            <w:r>
              <w:rPr>
                <w:rFonts w:ascii="Times New Roman" w:cs="Times New Roman" w:eastAsia="Times New Roman" w:hAnsi="Times New Roman"/>
                <w:i/>
                <w:iCs/>
                <w:sz w:val="19"/>
                <w:szCs w:val="19"/>
              </w:rPr>
              <w:t xml:space="preserve">H</w:t>
            </w:r>
            <w:r>
              <w:rPr>
                <w:rFonts w:ascii="Times New Roman" w:cs="Times New Roman" w:eastAsia="Times New Roman" w:hAnsi="Times New Roman"/>
                <w:sz w:val="19"/>
                <w:szCs w:val="19"/>
              </w:rPr>
              <w:t xml:space="preserve">, ε), α fixed at 0.047</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none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0.597</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Not adopted</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2</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γ log</w:t>
            </w:r>
            <w:r>
              <w:rPr>
                <w:rFonts w:ascii="Times New Roman" w:cs="Times New Roman" w:eastAsia="Times New Roman" w:hAnsi="Times New Roman"/>
                <w:i w:val="false"/>
                <w:iCs w:val="false"/>
                <w:sz w:val="19"/>
                <w:szCs w:val="19"/>
                <w:vertAlign w:val="subscript"/>
              </w:rPr>
              <w:t xml:space="preserve">10</w:t>
            </w:r>
            <w:r>
              <w:rPr>
                <w:rFonts w:ascii="Times New Roman" w:cs="Times New Roman" w:eastAsia="Times New Roman" w:hAnsi="Times New Roman"/>
                <w:sz w:val="19"/>
                <w:szCs w:val="19"/>
              </w:rPr>
              <w:t xml:space="preserve">(1 − </w:t>
            </w:r>
            <w:r>
              <w:rPr>
                <w:rFonts w:ascii="Times New Roman" w:cs="Times New Roman" w:eastAsia="Times New Roman" w:hAnsi="Times New Roman"/>
                <w:i/>
                <w:iCs/>
                <w:sz w:val="19"/>
                <w:szCs w:val="19"/>
              </w:rPr>
              <w:t xml:space="preserve">H</w:t>
            </w:r>
            <w:r>
              <w:rPr>
                <w:rFonts w:ascii="Times New Roman" w:cs="Times New Roman" w:eastAsia="Times New Roman" w:hAnsi="Times New Roman"/>
                <w:sz w:val="19"/>
                <w:szCs w:val="19"/>
              </w:rPr>
              <w:t xml:space="preserve">/</w:t>
            </w:r>
            <w:r>
              <w:rPr>
                <w:rFonts w:ascii="Times New Roman" w:cs="Times New Roman" w:eastAsia="Times New Roman" w:hAnsi="Times New Roman"/>
                <w:i/>
                <w:iCs/>
                <w:sz w:val="19"/>
                <w:szCs w:val="19"/>
              </w:rPr>
              <w:t xml:space="preserve">H</w:t>
            </w:r>
            <w:r>
              <w:rPr>
                <w:rFonts w:ascii="Times New Roman" w:cs="Times New Roman" w:eastAsia="Times New Roman" w:hAnsi="Times New Roman"/>
                <w:i w:val="false"/>
                <w:iCs w:val="false"/>
                <w:sz w:val="19"/>
                <w:szCs w:val="19"/>
                <w:vertAlign w:val="subscript"/>
              </w:rPr>
              <w:t xml:space="preserve">c2</w:t>
            </w:r>
            <w:r>
              <w:rPr>
                <w:rFonts w:ascii="Times New Roman" w:cs="Times New Roman" w:eastAsia="Times New Roman" w:hAnsi="Times New Roman"/>
                <w:sz w:val="19"/>
                <w:szCs w:val="19"/>
              </w:rPr>
              <w:t xml:space="preserve">(</w:t>
            </w:r>
            <w:r>
              <w:rPr>
                <w:rFonts w:ascii="Times New Roman" w:cs="Times New Roman" w:eastAsia="Times New Roman" w:hAnsi="Times New Roman"/>
                <w:i/>
                <w:iCs/>
                <w:sz w:val="19"/>
                <w:szCs w:val="19"/>
              </w:rPr>
              <w:t xml:space="preserve">T</w:t>
            </w:r>
            <w:r>
              <w:rPr>
                <w:rFonts w:ascii="Times New Roman" w:cs="Times New Roman" w:eastAsia="Times New Roman" w:hAnsi="Times New Roman"/>
                <w:sz w:val="19"/>
                <w:szCs w:val="19"/>
              </w:rPr>
              <w:t xml:space="preserv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i/>
                <w:iCs/>
                <w:sz w:val="19"/>
                <w:szCs w:val="19"/>
              </w:rPr>
              <w:t xml:space="preserve">H</w:t>
            </w:r>
            <w:r>
              <w:rPr>
                <w:rFonts w:ascii="Times New Roman" w:cs="Times New Roman" w:eastAsia="Times New Roman" w:hAnsi="Times New Roman"/>
                <w:i w:val="false"/>
                <w:iCs w:val="false"/>
                <w:sz w:val="19"/>
                <w:szCs w:val="19"/>
                <w:vertAlign w:val="subscript"/>
              </w:rPr>
              <w:t xml:space="preserve">c2,0</w:t>
            </w:r>
            <w:r>
              <w:rPr>
                <w:rFonts w:ascii="Times New Roman" w:cs="Times New Roman" w:eastAsia="Times New Roman" w:hAnsi="Times New Roman"/>
                <w:sz w:val="19"/>
                <w:szCs w:val="19"/>
              </w:rPr>
              <w:t xml:space="preserve">(1 − </w:t>
            </w:r>
            <w:r>
              <w:rPr>
                <w:rFonts w:ascii="Times New Roman" w:cs="Times New Roman" w:eastAsia="Times New Roman" w:hAnsi="Times New Roman"/>
                <w:i/>
                <w:iCs/>
                <w:sz w:val="19"/>
                <w:szCs w:val="19"/>
              </w:rPr>
              <w:t xml:space="preserve">T</w:t>
            </w:r>
            <w:r>
              <w:rPr>
                <w:rFonts w:ascii="Times New Roman" w:cs="Times New Roman" w:eastAsia="Times New Roman" w:hAnsi="Times New Roman"/>
                <w:sz w:val="19"/>
                <w:szCs w:val="19"/>
              </w:rPr>
              <w:t xml:space="preserve">/</w:t>
            </w:r>
            <w:r>
              <w:rPr>
                <w:rFonts w:ascii="Times New Roman" w:cs="Times New Roman" w:eastAsia="Times New Roman" w:hAnsi="Times New Roman"/>
                <w:i/>
                <w:iCs/>
                <w:sz w:val="19"/>
                <w:szCs w:val="19"/>
              </w:rPr>
              <w:t xml:space="preserve">T</w:t>
            </w:r>
            <w:r>
              <w:rPr>
                <w:rFonts w:ascii="Times New Roman" w:cs="Times New Roman" w:eastAsia="Times New Roman" w:hAnsi="Times New Roman"/>
                <w:i w:val="false"/>
                <w:iCs w:val="false"/>
                <w:sz w:val="19"/>
                <w:szCs w:val="19"/>
                <w:vertAlign w:val="subscript"/>
              </w:rPr>
              <w:t xml:space="preserve">c</w:t>
            </w:r>
            <w:r>
              <w:rPr>
                <w:rFonts w:ascii="Times New Roman" w:cs="Times New Roman" w:eastAsia="Times New Roman" w:hAnsi="Times New Roman"/>
                <w:sz w:val="19"/>
                <w:szCs w:val="19"/>
              </w:rPr>
              <w:t xml:space="preserve">), linear</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0.352</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Not adopted</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3</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β</w:t>
            </w:r>
            <w:r>
              <w:rPr>
                <w:rFonts w:ascii="Times New Roman" w:cs="Times New Roman" w:eastAsia="Times New Roman" w:hAnsi="Times New Roman"/>
                <w:i w:val="false"/>
                <w:iCs w:val="false"/>
                <w:sz w:val="19"/>
                <w:szCs w:val="19"/>
                <w:vertAlign w:val="subscript"/>
              </w:rPr>
              <w:t xml:space="preserve">H</w:t>
            </w:r>
            <w:r>
              <w:rPr>
                <w:rFonts w:ascii="Times New Roman" w:cs="Times New Roman" w:eastAsia="Times New Roman" w:hAnsi="Times New Roman"/>
                <w:sz w:val="19"/>
                <w:szCs w:val="19"/>
              </w:rPr>
              <w:t xml:space="preserve"> log</w:t>
            </w:r>
            <w:r>
              <w:rPr>
                <w:rFonts w:ascii="Times New Roman" w:cs="Times New Roman" w:eastAsia="Times New Roman" w:hAnsi="Times New Roman"/>
                <w:i w:val="false"/>
                <w:iCs w:val="false"/>
                <w:sz w:val="19"/>
                <w:szCs w:val="19"/>
                <w:vertAlign w:val="subscript"/>
              </w:rPr>
              <w:t xml:space="preserve">10</w:t>
            </w:r>
            <w:r>
              <w:rPr>
                <w:rFonts w:ascii="Times New Roman" w:cs="Times New Roman" w:eastAsia="Times New Roman" w:hAnsi="Times New Roman"/>
                <w:sz w:val="19"/>
                <w:szCs w:val="19"/>
              </w:rPr>
              <w:t xml:space="preserve">(1 − </w:t>
            </w:r>
            <w:r>
              <w:rPr>
                <w:rFonts w:ascii="Times New Roman" w:cs="Times New Roman" w:eastAsia="Times New Roman" w:hAnsi="Times New Roman"/>
                <w:i/>
                <w:iCs/>
                <w:sz w:val="19"/>
                <w:szCs w:val="19"/>
              </w:rPr>
              <w:t xml:space="preserve">H</w:t>
            </w:r>
            <w:r>
              <w:rPr>
                <w:rFonts w:ascii="Times New Roman" w:cs="Times New Roman" w:eastAsia="Times New Roman" w:hAnsi="Times New Roman"/>
                <w:sz w:val="19"/>
                <w:szCs w:val="19"/>
              </w:rPr>
              <w:t xml:space="preserve">/</w:t>
            </w:r>
            <w:r>
              <w:rPr>
                <w:rFonts w:ascii="Times New Roman" w:cs="Times New Roman" w:eastAsia="Times New Roman" w:hAnsi="Times New Roman"/>
                <w:i/>
                <w:iCs/>
                <w:sz w:val="19"/>
                <w:szCs w:val="19"/>
              </w:rPr>
              <w:t xml:space="preserve">H</w:t>
            </w:r>
            <w:r>
              <w:rPr>
                <w:rFonts w:ascii="Times New Roman" w:cs="Times New Roman" w:eastAsia="Times New Roman" w:hAnsi="Times New Roman"/>
                <w:i w:val="false"/>
                <w:iCs w:val="false"/>
                <w:sz w:val="19"/>
                <w:szCs w:val="19"/>
                <w:vertAlign w:val="subscript"/>
              </w:rPr>
              <w:t xml:space="preserve">c2,0</w:t>
            </w:r>
            <w:r>
              <w:rPr>
                <w:rFonts w:ascii="Times New Roman" w:cs="Times New Roman" w:eastAsia="Times New Roman" w:hAnsi="Times New Roman"/>
                <w:sz w:val="19"/>
                <w:szCs w:val="19"/>
              </w:rPr>
              <w:t xml:space="preserv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i/>
                <w:iCs/>
                <w:sz w:val="19"/>
                <w:szCs w:val="19"/>
              </w:rPr>
              <w:t xml:space="preserve">H</w:t>
            </w:r>
            <w:r>
              <w:rPr>
                <w:rFonts w:ascii="Times New Roman" w:cs="Times New Roman" w:eastAsia="Times New Roman" w:hAnsi="Times New Roman"/>
                <w:i w:val="false"/>
                <w:iCs w:val="false"/>
                <w:sz w:val="19"/>
                <w:szCs w:val="19"/>
                <w:vertAlign w:val="subscript"/>
              </w:rPr>
              <w:t xml:space="preserve">c2,0</w:t>
            </w:r>
            <w:r>
              <w:rPr>
                <w:rFonts w:ascii="Times New Roman" w:cs="Times New Roman" w:eastAsia="Times New Roman" w:hAnsi="Times New Roman"/>
                <w:sz w:val="19"/>
                <w:szCs w:val="19"/>
              </w:rPr>
              <w:t xml:space="preserve">, temperature-independent</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0.260</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Adopted; Eq. (2)</w:t>
            </w:r>
          </w:p>
        </w:tc>
      </w:tr>
    </w:tbl>
    <w:p>
      <w:pPr>
        <w:spacing w:after="240"/>
      </w:pPr>
      <w:r>
        <w:rPr>
          <w:sz w:val="8"/>
          <w:szCs w:val="8"/>
        </w:rPr>
        <w:t xml:space="preserve"/>
      </w:r>
    </w:p>
    <w:p>
      <w:pPr>
        <w:spacing w:after="0" w:line="480"/>
        <w:ind w:firstLine="431"/>
        <w:jc w:val="both"/>
      </w:pPr>
      <w:r>
        <w:rPr>
          <w:rFonts w:ascii="Times New Roman" w:cs="Times New Roman" w:eastAsia="Times New Roman" w:hAnsi="Times New Roman"/>
          <w:sz w:val="24"/>
          <w:szCs w:val="24"/>
        </w:rPr>
        <w:t xml:space="preserve">Form 3 was selected for the separability set out above rather than on the margin in Table II, which is evaluated per compound and not per paper on the fully fittable cohort. The consequence, that the fitted β</w:t>
      </w:r>
      <w:r>
        <w:rPr>
          <w:rFonts w:ascii="Times New Roman" w:cs="Times New Roman" w:eastAsia="Times New Roman" w:hAnsi="Times New Roman"/>
          <w:i w:val="false"/>
          <w:iCs w:val="false"/>
          <w:sz w:val="24"/>
          <w:szCs w:val="24"/>
          <w:vertAlign w:val="subscript"/>
        </w:rPr>
        <w:t xml:space="preserve">H</w:t>
      </w:r>
      <w:r>
        <w:rPr>
          <w:rFonts w:ascii="Times New Roman" w:cs="Times New Roman" w:eastAsia="Times New Roman" w:hAnsi="Times New Roman"/>
          <w:sz w:val="24"/>
          <w:szCs w:val="24"/>
        </w:rPr>
        <w:t xml:space="preserve"> absorbs part of the temperature dependence it was meant to be separated from, is characterized in Section III.F.</w:t>
      </w:r>
    </w:p>
    <w:p>
      <w:pPr>
        <w:spacing w:after="0" w:line="480"/>
        <w:ind w:firstLine="431"/>
        <w:jc w:val="both"/>
      </w:pPr>
      <w:r>
        <w:rPr>
          <w:rFonts w:ascii="Times New Roman" w:cs="Times New Roman" w:eastAsia="Times New Roman" w:hAnsi="Times New Roman"/>
          <w:i/>
          <w:iCs/>
          <w:sz w:val="24"/>
          <w:szCs w:val="24"/>
        </w:rPr>
        <w:t xml:space="preserve">Two implementations of the field-axis critical scale.</w:t>
      </w:r>
      <w:r>
        <w:rPr>
          <w:rFonts w:ascii="Times New Roman" w:cs="Times New Roman" w:eastAsia="Times New Roman" w:hAnsi="Times New Roman"/>
          <w:sz w:val="24"/>
          <w:szCs w:val="24"/>
        </w:rPr>
        <w:t xml:space="preserve"> Equation (2) is realized twice in the analysis pipeline against different definitions of </w:t>
      </w:r>
      <w:r>
        <w:rPr>
          <w:rFonts w:ascii="Times New Roman" w:cs="Times New Roman" w:eastAsia="Times New Roman" w:hAnsi="Times New Roman"/>
          <w:i/>
          <w:iCs/>
          <w:sz w:val="24"/>
          <w:szCs w:val="24"/>
        </w:rPr>
        <w:t xml:space="preserve">x</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and the distinction matters for reading the results. The functional-form comparison and universal-scaling test of Section III.D take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c2,0</w:t>
      </w:r>
      <w:r>
        <w:rPr>
          <w:rFonts w:ascii="Times New Roman" w:cs="Times New Roman" w:eastAsia="Times New Roman" w:hAnsi="Times New Roman"/>
          <w:sz w:val="24"/>
          <w:szCs w:val="24"/>
        </w:rPr>
        <w:t xml:space="preserve"> directly from the compiled reference table described in Section II.B, as the design specifies. The per-paper partial-fit path instead resolves a field value at each measurement temperature from whatever critical-field series the source paper provides, falling back to a per-substructure ratio and then to a flat reference value. The two are identical for the 61 of 159 fits that fall back to the literature default, and the resolved quantity is a median factor of 6.4 smaller than the literature Hc2,0 across the 98 fits for which a paper-derived value was resolved.</w:t>
      </w:r>
      <w:r>
        <w:rPr>
          <w:rFonts w:ascii="Times New Roman" w:cs="Times New Roman" w:eastAsia="Times New Roman" w:hAnsi="Times New Roman"/>
          <w:i/>
          <w:iCs/>
          <w:sz w:val="24"/>
          <w:szCs w:val="24"/>
        </w:rPr>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xml:space="preserve"> Results derived through each path are labeled accordingly in Section III, and the applicability filter of Section II.A was evaluated against the resolved quantity rather than against the literature scale, with the consequences reported in Section III.F.</w:t>
      </w:r>
    </w:p>
    <w:p>
      <w:pPr>
        <w:pStyle w:val="Heading2"/>
        <w:spacing w:after="200" w:before="360"/>
        <w:jc w:val="center"/>
      </w:pPr>
      <w:r>
        <w:rPr>
          <w:rFonts w:ascii="Times New Roman" w:cs="Times New Roman" w:eastAsia="Times New Roman" w:hAnsi="Times New Roman"/>
          <w:b/>
          <w:bCs/>
          <w:color w:val="000000"/>
          <w:sz w:val="24"/>
          <w:szCs w:val="24"/>
        </w:rPr>
        <w:t xml:space="preserve">D. Runtime architecture and refusal logic</w:t>
      </w:r>
    </w:p>
    <w:p>
      <w:pPr>
        <w:spacing w:after="0" w:line="480"/>
        <w:ind w:firstLine="431"/>
        <w:jc w:val="both"/>
      </w:pPr>
      <w:r>
        <w:rPr>
          <w:rFonts w:ascii="Times New Roman" w:cs="Times New Roman" w:eastAsia="Times New Roman" w:hAnsi="Times New Roman"/>
          <w:sz w:val="24"/>
          <w:szCs w:val="24"/>
        </w:rPr>
        <w:t xml:space="preserve">The workflow converts heterogeneous literature into predictions through six linked stages: corpus assembly and fittability filtering; curve-level extraction of data and metadata from each source figure; </w:t>
      </w:r>
      <w:r>
        <w:rPr>
          <w:rFonts w:ascii="Times New Roman" w:cs="Times New Roman" w:eastAsia="Times New Roman" w:hAnsi="Times New Roman"/>
          <w:b/>
          <w:bCs/>
          <w:sz w:val="24"/>
          <w:szCs w:val="24"/>
        </w:rPr>
        <w:t xml:space="preserve">resolution of the critical scales</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and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w:t>
      </w:r>
      <w:r>
        <w:rPr>
          <w:rFonts w:ascii="Times New Roman" w:cs="Times New Roman" w:eastAsia="Times New Roman" w:hAnsi="Times New Roman"/>
          <w:sz w:val="24"/>
          <w:szCs w:val="24"/>
        </w:rPr>
        <w:t xml:space="preserve"> for each fitted curve; per-axis exponent fitting at the level of physically grouped curves; aggregation of fitted exponents within substructure families and, when justified by the variance diagnostic, within sample-form classes; and dispatch through validation gates. We name the critical-scale resolution stage explicitly in the architecture because it is a distinct step with its own provenance and its own failure modes, and it was not visible as a separate stage in the earlier presentation of this work. Figure 2 shows the runtime architecture.</w:t>
      </w:r>
    </w:p>
    <w:p>
      <w:pPr>
        <w:spacing w:after="0" w:line="480"/>
        <w:ind w:firstLine="431"/>
        <w:jc w:val="both"/>
      </w:pPr>
      <w:r>
        <w:rPr>
          <w:rFonts w:ascii="Times New Roman" w:cs="Times New Roman" w:eastAsia="Times New Roman" w:hAnsi="Times New Roman"/>
          <w:i/>
          <w:iCs/>
          <w:sz w:val="24"/>
          <w:szCs w:val="24"/>
        </w:rPr>
        <w:t xml:space="preserve">Three scopes, not three models.</w:t>
      </w:r>
      <w:r>
        <w:rPr>
          <w:rFonts w:ascii="Times New Roman" w:cs="Times New Roman" w:eastAsia="Times New Roman" w:hAnsi="Times New Roman"/>
          <w:sz w:val="24"/>
          <w:szCs w:val="24"/>
        </w:rPr>
        <w:t xml:space="preserve"> Sections III.A and III.E refer to Stage 1, Stage 2, and Stage 3. These are not three competing models. They are three prediction scopes over the same fitted exponents, selected by what is known about the target and by the variance diagnostic. Stage 1 regresses the exponent against a compositional descriptor and is used for rank signal and substructure classification, not as a final predictor. Stage 2 uses the median exponent within a (substructure, sample form) cell and is used when the candidate's sample form is known and that cell is populated. Stage 3 uses the substructure-level median with the within-family interquartile range retained as uncertainty, and is used when the sample form is unknown or the cell is too sparse. The variance diagnostic decides, per family, whether Stage 2 is justified at all.</w:t>
      </w:r>
    </w:p>
    <w:p>
      <w:pPr>
        <w:spacing w:after="0" w:line="480"/>
        <w:ind w:firstLine="431"/>
        <w:jc w:val="both"/>
      </w:pPr>
      <w:r>
        <w:rPr>
          <w:rFonts w:ascii="Times New Roman" w:cs="Times New Roman" w:eastAsia="Times New Roman" w:hAnsi="Times New Roman"/>
          <w:i/>
          <w:iCs/>
          <w:sz w:val="24"/>
          <w:szCs w:val="24"/>
        </w:rPr>
        <w:t xml:space="preserve">Inference for an unseen compound.</w:t>
      </w:r>
      <w:r>
        <w:rPr>
          <w:rFonts w:ascii="Times New Roman" w:cs="Times New Roman" w:eastAsia="Times New Roman" w:hAnsi="Times New Roman"/>
          <w:sz w:val="24"/>
          <w:szCs w:val="24"/>
        </w:rPr>
        <w:t xml:space="preserve"> For a candidate compound with no critical-current measurements, the procedure is:</w:t>
      </w:r>
    </w:p>
    <w:p>
      <w:pPr>
        <w:pStyle w:val="ListParagraph"/>
        <w:numPr>
          <w:ilvl w:val="0"/>
          <w:numId w:val="2"/>
        </w:numPr>
        <w:spacing w:after="0" w:line="480"/>
        <w:jc w:val="both"/>
      </w:pPr>
      <w:r>
        <w:rPr>
          <w:rFonts w:ascii="Times New Roman" w:cs="Times New Roman" w:eastAsia="Times New Roman" w:hAnsi="Times New Roman"/>
          <w:sz w:val="24"/>
          <w:szCs w:val="24"/>
        </w:rPr>
        <w:t xml:space="preserve">Assign the substructure family from stoichiometry and crystal system. If the family is unpopulated or the classification is ambiguous, refuse.</w:t>
      </w:r>
    </w:p>
    <w:p>
      <w:pPr>
        <w:pStyle w:val="ListParagraph"/>
        <w:numPr>
          <w:ilvl w:val="0"/>
          <w:numId w:val="2"/>
        </w:numPr>
        <w:spacing w:after="0" w:line="480"/>
        <w:jc w:val="both"/>
      </w:pPr>
      <w:r>
        <w:rPr>
          <w:rFonts w:ascii="Times New Roman" w:cs="Times New Roman" w:eastAsia="Times New Roman" w:hAnsi="Times New Roman"/>
          <w:sz w:val="24"/>
          <w:szCs w:val="24"/>
        </w:rPr>
        <w:t xml:space="preserve">Obtain the transition-temperature anchor, and the upper-critical-field anchor if a field-axis prediction is requested. If the required anchor is unavailable, refuse that prediction target.</w:t>
      </w:r>
    </w:p>
    <w:p>
      <w:pPr>
        <w:pStyle w:val="ListParagraph"/>
        <w:numPr>
          <w:ilvl w:val="0"/>
          <w:numId w:val="2"/>
        </w:numPr>
        <w:spacing w:after="0" w:line="480"/>
        <w:jc w:val="both"/>
      </w:pPr>
      <w:r>
        <w:rPr>
          <w:rFonts w:ascii="Times New Roman" w:cs="Times New Roman" w:eastAsia="Times New Roman" w:hAnsi="Times New Roman"/>
          <w:sz w:val="24"/>
          <w:szCs w:val="24"/>
        </w:rPr>
        <w:t>Check that at least K = 3 anchor measurements are available for the candidate.</w:t>
      </w:r>
      <w:r>
        <w:rPr>
          <w:rFonts w:ascii="Times New Roman" w:cs="Times New Roman" w:eastAsia="Times New Roman" w:hAnsi="Times New Roman"/>
          <w:i/>
          <w:iCs/>
          <w:sz w:val="24"/>
          <w:szCs w:val="24"/>
        </w:rPr>
      </w:r>
      <w:r>
        <w:rPr>
          <w:rFonts w:ascii="Times New Roman" w:cs="Times New Roman" w:eastAsia="Times New Roman" w:hAnsi="Times New Roman"/>
          <w:sz w:val="24"/>
          <w:szCs w:val="24"/>
        </w:rPr>
        <w:t xml:space="preserve"> If not, refuse.</w:t>
      </w:r>
    </w:p>
    <w:p>
      <w:pPr>
        <w:pStyle w:val="ListParagraph"/>
        <w:numPr>
          <w:ilvl w:val="0"/>
          <w:numId w:val="2"/>
        </w:numPr>
        <w:spacing w:after="0" w:line="480"/>
        <w:jc w:val="both"/>
      </w:pPr>
      <w:r>
        <w:rPr>
          <w:rFonts w:ascii="Times New Roman" w:cs="Times New Roman" w:eastAsia="Times New Roman" w:hAnsi="Times New Roman"/>
          <w:sz w:val="24"/>
          <w:szCs w:val="24"/>
        </w:rPr>
        <w:t xml:space="preserve">Read the variance-decomposition regime for that family to select Stage 2 or Stage 3.</w:t>
      </w:r>
    </w:p>
    <w:p>
      <w:pPr>
        <w:pStyle w:val="ListParagraph"/>
        <w:numPr>
          <w:ilvl w:val="0"/>
          <w:numId w:val="2"/>
        </w:numPr>
        <w:spacing w:after="0" w:line="480"/>
        <w:jc w:val="both"/>
      </w:pPr>
      <w:r>
        <w:rPr>
          <w:rFonts w:ascii="Times New Roman" w:cs="Times New Roman" w:eastAsia="Times New Roman" w:hAnsi="Times New Roman"/>
          <w:sz w:val="24"/>
          <w:szCs w:val="24"/>
        </w:rPr>
        <w:t xml:space="preserve">Take the median β</w:t>
      </w:r>
      <w:r>
        <w:rPr>
          <w:rFonts w:ascii="Times New Roman" w:cs="Times New Roman" w:eastAsia="Times New Roman" w:hAnsi="Times New Roman"/>
          <w:i w:val="false"/>
          <w:iCs w:val="false"/>
          <w:sz w:val="24"/>
          <w:szCs w:val="24"/>
          <w:vertAlign w:val="subscript"/>
        </w:rPr>
        <w:t xml:space="preserve">T</w:t>
      </w:r>
      <w:r>
        <w:rPr>
          <w:rFonts w:ascii="Times New Roman" w:cs="Times New Roman" w:eastAsia="Times New Roman" w:hAnsi="Times New Roman"/>
          <w:sz w:val="24"/>
          <w:szCs w:val="24"/>
        </w:rPr>
        <w:t xml:space="preserve">, median β</w:t>
      </w:r>
      <w:r>
        <w:rPr>
          <w:rFonts w:ascii="Times New Roman" w:cs="Times New Roman" w:eastAsia="Times New Roman" w:hAnsi="Times New Roman"/>
          <w:i w:val="false"/>
          <w:iCs w:val="false"/>
          <w:sz w:val="24"/>
          <w:szCs w:val="24"/>
          <w:vertAlign w:val="subscript"/>
        </w:rPr>
        <w:t xml:space="preserve">H</w:t>
      </w:r>
      <w:r>
        <w:rPr>
          <w:rFonts w:ascii="Times New Roman" w:cs="Times New Roman" w:eastAsia="Times New Roman" w:hAnsi="Times New Roman"/>
          <w:sz w:val="24"/>
          <w:szCs w:val="24"/>
        </w:rPr>
        <w:t xml:space="preserve">, and median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c,partial</w:t>
      </w:r>
      <w:r>
        <w:rPr>
          <w:rFonts w:ascii="Times New Roman" w:cs="Times New Roman" w:eastAsia="Times New Roman" w:hAnsi="Times New Roman"/>
          <w:sz w:val="24"/>
          <w:szCs w:val="24"/>
        </w:rPr>
        <w:t xml:space="preserve"> from the selected cell.</w:t>
      </w:r>
    </w:p>
    <w:p>
      <w:pPr>
        <w:pStyle w:val="ListParagraph"/>
        <w:numPr>
          <w:ilvl w:val="0"/>
          <w:numId w:val="2"/>
        </w:numPr>
        <w:spacing w:after="0" w:line="480"/>
        <w:jc w:val="both"/>
      </w:pPr>
      <w:r>
        <w:rPr>
          <w:rFonts w:ascii="Times New Roman" w:cs="Times New Roman" w:eastAsia="Times New Roman" w:hAnsi="Times New Roman"/>
          <w:sz w:val="24"/>
          <w:szCs w:val="24"/>
        </w:rPr>
        <w:t xml:space="preserve">Evaluate Eq. (2) at the requested (</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 and propagate uncertainty in quadrature over the three fitted terms.</w:t>
      </w:r>
    </w:p>
    <w:p>
      <w:pPr>
        <w:pStyle w:val="ListParagraph"/>
        <w:numPr>
          <w:ilvl w:val="0"/>
          <w:numId w:val="2"/>
        </w:numPr>
        <w:spacing w:after="0" w:line="480"/>
        <w:jc w:val="both"/>
      </w:pPr>
      <w:r>
        <w:rPr>
          <w:rFonts w:ascii="Times New Roman" w:cs="Times New Roman" w:eastAsia="Times New Roman" w:hAnsi="Times New Roman"/>
          <w:sz w:val="24"/>
          <w:szCs w:val="24"/>
        </w:rPr>
        <w:t xml:space="preserve">Apply the remaining gates: target temperature below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and monotonic predicted temperature dependence of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If either fails, refuse with the corresponding reason code. Then screen the surviving prediction against the substructure calibration range, discarding any candidate whose anchors place the target far enough outside the calibrated interval that the aggregate exponent extrapolates to an unphysical magnitude, as described in Section III.E.</w:t>
      </w:r>
    </w:p>
    <w:p>
      <w:pPr>
        <w:spacing w:after="0" w:line="480"/>
        <w:ind w:firstLine="431"/>
        <w:jc w:val="both"/>
      </w:pPr>
      <w:r>
        <w:rPr>
          <w:rFonts w:ascii="Times New Roman" w:cs="Times New Roman" w:eastAsia="Times New Roman" w:hAnsi="Times New Roman"/>
          <w:sz w:val="24"/>
          <w:szCs w:val="24"/>
        </w:rPr>
        <w:t xml:space="preserve">Steps 5 and 6 use family-level quantities only. No step introduces information specific to the candidate compound other than its family membership and its anchors, which is the structural fact analyzed in Section III.E.</w:t>
      </w:r>
    </w:p>
    <w:p>
      <w:pPr>
        <w:spacing w:after="0" w:line="480"/>
        <w:ind w:firstLine="431"/>
        <w:jc w:val="both"/>
      </w:pPr>
      <w:r>
        <w:rPr>
          <w:rFonts w:ascii="Times New Roman" w:cs="Times New Roman" w:eastAsia="Times New Roman" w:hAnsi="Times New Roman"/>
          <w:sz w:val="24"/>
          <w:szCs w:val="24"/>
        </w:rPr>
        <w:t xml:space="preserve">The refusal logic connects the physics problem to selective prediction. Classical reject-option learning improves reliability by allowing a model to abstain outside its confident operating range </w:t>
      </w:r>
      <w:r>
        <w:rPr>
          <w:rFonts w:ascii="Times New Roman" w:cs="Times New Roman" w:eastAsia="Times New Roman" w:hAnsi="Times New Roman"/>
          <w:sz w:val="24"/>
          <w:szCs w:val="24"/>
        </w:rPr>
        <w:t xml:space="preserve">[31–33]</w:t>
      </w:r>
      <w:r>
        <w:rPr>
          <w:rFonts w:ascii="Times New Roman" w:cs="Times New Roman" w:eastAsia="Times New Roman" w:hAnsi="Times New Roman"/>
          <w:sz w:val="24"/>
          <w:szCs w:val="24"/>
        </w:rPr>
        <w:t xml:space="preserve">, and conformal prediction provides a complementary formalism for calibrated abstention under exchangeability assumptions </w:t>
      </w:r>
      <w:r>
        <w:rPr>
          <w:rFonts w:ascii="Times New Roman" w:cs="Times New Roman" w:eastAsia="Times New Roman" w:hAnsi="Times New Roman"/>
          <w:sz w:val="24"/>
          <w:szCs w:val="24"/>
        </w:rPr>
        <w:t xml:space="preserve">[34, 35]</w:t>
      </w:r>
      <w:r>
        <w:rPr>
          <w:rFonts w:ascii="Times New Roman" w:cs="Times New Roman" w:eastAsia="Times New Roman" w:hAnsi="Times New Roman"/>
          <w:sz w:val="24"/>
          <w:szCs w:val="24"/>
        </w:rPr>
        <w:t xml:space="preserve">. Here that principle is implemented through physics-derived gates and empirical validation thresholds. Refusal codes identify the failed condition: insufficient anchor density, non-monotonic critical-current behavior, unpopulated substructure membership, missing upper-critical-field anchor, and target temperature above the transition temperature. The refusal system is part of the model definition, setting the window over which predictions are emitted. One thing it does not do, and we state it here rather than leave it to be inferred: a family that cannot be assessed on an axis is not refused on that axis. On the field axis a family that fails validation is refused, and 1.9% of candidate grid points are refused for that reason. On the temperature axis there is no such gate, and the MgB2 class carries no fits in the temperature-axis cohort, so the compound leave-one-out test cannot be run on it and it dispatches under the same gates as a family that passed. Section III.C gives the status of each family on each axis, and every emitted value carries it.</w:t>
      </w:r>
    </w:p>
    <w:p>
      <w:pPr>
        <w:spacing w:after="120" w:before="240"/>
        <w:jc w:val="center"/>
      </w:pPr>
      <w:r>
        <w:drawing>
          <wp:inline distT="0" distB="0" distL="0" distR="0">
            <wp:extent cx="5715000" cy="396039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960395"/>
                    </a:xfrm>
                    <a:prstGeom prst="rect">
                      <a:avLst/>
                    </a:prstGeom>
                  </pic:spPr>
                </pic:pic>
              </a:graphicData>
            </a:graphic>
          </wp:inline>
        </w:drawing>
      </w:r>
    </w:p>
    <w:p>
      <w:pPr>
        <w:spacing w:after="360" w:line="240"/>
        <w:jc w:val="both"/>
      </w:pPr>
      <w:r>
        <w:rPr>
          <w:rFonts w:ascii="Times New Roman" w:cs="Times New Roman" w:eastAsia="Times New Roman" w:hAnsi="Times New Roman"/>
          <w:b/>
          <w:bCs/>
          <w:sz w:val="20"/>
          <w:szCs w:val="20"/>
        </w:rPr>
        <w:t xml:space="preserve">FIG. 2.</w:t>
      </w:r>
      <w:r>
        <w:rPr>
          <w:rFonts w:ascii="Times New Roman" w:cs="Times New Roman" w:eastAsia="Times New Roman" w:hAnsi="Times New Roman"/>
          <w:sz w:val="20"/>
          <w:szCs w:val="20"/>
        </w:rPr>
        <w:t xml:space="preserve"> Runtime architecture for substructure-conditional critical-current prediction. The six-stage workflow converts heterogeneous literature into bounded predictions. Each arrow is labeled with what it carries between stages, from the screened articles at the top to the family-scope envelope at the bottom. The critical-scale resolution stage is shown explicitly between extraction and fitting, with its provenance tiers indicated; it is highlighted because it is a distinct step with its own failure modes, characterized in Sec. III.F, and it was not visible as a separate stage in the earlier presentation of this work. The refusal branch leaves the dispatch stage explicitly, so that a refusal code with no emitted value is shown as an output of the predictor rather than as an omission. The workflow assembles the corpus, extracts curve-level measurement context, resolves the transition-temperature and upper-critical-field scales for each curve, fits per-axis Form 3 exponents, validates aggregation within explicit substructure and sample-form scopes, and dispatches family-scope envelopes with bootstrap confidence intervals and refusal flags. AI tools support plot extraction </w:t>
      </w:r>
      <w:r>
        <w:rPr>
          <w:rFonts w:ascii="Times New Roman" w:cs="Times New Roman" w:eastAsia="Times New Roman" w:hAnsi="Times New Roman"/>
          <w:sz w:val="20"/>
          <w:szCs w:val="20"/>
        </w:rPr>
        <w:t xml:space="preserve">[27]</w:t>
      </w:r>
      <w:r>
        <w:rPr>
          <w:rFonts w:ascii="Times New Roman" w:cs="Times New Roman" w:eastAsia="Times New Roman" w:hAnsi="Times New Roman"/>
          <w:sz w:val="20"/>
          <w:szCs w:val="20"/>
        </w:rPr>
        <w:t xml:space="preserve"> and workflow organization </w:t>
      </w:r>
      <w:r>
        <w:rPr>
          <w:rFonts w:ascii="Times New Roman" w:cs="Times New Roman" w:eastAsia="Times New Roman" w:hAnsi="Times New Roman"/>
          <w:sz w:val="20"/>
          <w:szCs w:val="20"/>
        </w:rPr>
        <w:t xml:space="preserve">[36]</w:t>
      </w:r>
      <w:r>
        <w:rPr>
          <w:rFonts w:ascii="Times New Roman" w:cs="Times New Roman" w:eastAsia="Times New Roman" w:hAnsi="Times New Roman"/>
          <w:sz w:val="20"/>
          <w:szCs w:val="20"/>
        </w:rPr>
        <w:t xml:space="preserve">. All fitted parameters, validation metrics, uncertainty estimates, and final predictions are generated by deterministic pipeline components.</w:t>
      </w:r>
    </w:p>
    <w:p>
      <w:pPr>
        <w:pStyle w:val="Heading1"/>
        <w:spacing w:after="240" w:before="480"/>
        <w:jc w:val="center"/>
      </w:pPr>
      <w:r>
        <w:rPr>
          <w:rFonts w:ascii="Times New Roman" w:cs="Times New Roman" w:eastAsia="Times New Roman" w:hAnsi="Times New Roman"/>
          <w:b/>
          <w:bCs/>
          <w:color w:val="000000"/>
          <w:sz w:val="24"/>
          <w:szCs w:val="24"/>
        </w:rPr>
        <w:t xml:space="preserve">III. RESULTS AND DISCUSSION</w:t>
      </w:r>
    </w:p>
    <w:p>
      <w:pPr>
        <w:spacing w:after="0" w:line="480"/>
        <w:ind w:firstLine="431"/>
        <w:jc w:val="both"/>
      </w:pPr>
      <w:r>
        <w:rPr>
          <w:rFonts w:ascii="Times New Roman" w:cs="Times New Roman" w:eastAsia="Times New Roman" w:hAnsi="Times New Roman"/>
          <w:sz w:val="24"/>
          <w:szCs w:val="24"/>
        </w:rPr>
        <w:t xml:space="preserve">The results are organized around four questions raised by the framework. First: </w:t>
      </w:r>
      <w:r>
        <w:rPr>
          <w:rFonts w:ascii="Times New Roman" w:cs="Times New Roman" w:eastAsia="Times New Roman" w:hAnsi="Times New Roman"/>
          <w:i/>
          <w:iCs/>
          <w:sz w:val="24"/>
          <w:szCs w:val="24"/>
        </w:rPr>
        <w:t xml:space="preserve">can a single universal cross-compound scaling law explain critical-current variation across the heterogeneous superconductor literature?</w:t>
      </w:r>
      <w:r>
        <w:rPr>
          <w:rFonts w:ascii="Times New Roman" w:cs="Times New Roman" w:eastAsia="Times New Roman" w:hAnsi="Times New Roman"/>
          <w:sz w:val="24"/>
          <w:szCs w:val="24"/>
        </w:rPr>
        <w:t xml:space="preserve"> Second: </w:t>
      </w:r>
      <w:r>
        <w:rPr>
          <w:rFonts w:ascii="Times New Roman" w:cs="Times New Roman" w:eastAsia="Times New Roman" w:hAnsi="Times New Roman"/>
          <w:i/>
          <w:iCs/>
          <w:sz w:val="24"/>
          <w:szCs w:val="24"/>
        </w:rPr>
        <w:t xml:space="preserve">does substructure- and sample-form-conditioned aggregation outperform such a universal scaling and a simpler family-only conditioning?</w:t>
      </w:r>
      <w:r>
        <w:rPr>
          <w:rFonts w:ascii="Times New Roman" w:cs="Times New Roman" w:eastAsia="Times New Roman" w:hAnsi="Times New Roman"/>
          <w:sz w:val="24"/>
          <w:szCs w:val="24"/>
        </w:rPr>
        <w:t xml:space="preserve"> Third: </w:t>
      </w:r>
      <w:r>
        <w:rPr>
          <w:rFonts w:ascii="Times New Roman" w:cs="Times New Roman" w:eastAsia="Times New Roman" w:hAnsi="Times New Roman"/>
          <w:i/>
          <w:iCs/>
          <w:sz w:val="24"/>
          <w:szCs w:val="24"/>
        </w:rPr>
        <w:t xml:space="preserve">when can the framework extrapolate to out-of-corpus compounds, and what is the minimum cohort size required?</w:t>
      </w:r>
      <w:r>
        <w:rPr>
          <w:rFonts w:ascii="Times New Roman" w:cs="Times New Roman" w:eastAsia="Times New Roman" w:hAnsi="Times New Roman"/>
          <w:sz w:val="24"/>
          <w:szCs w:val="24"/>
        </w:rPr>
        <w:t xml:space="preserve"> Fourth: </w:t>
      </w:r>
      <w:r>
        <w:rPr>
          <w:rFonts w:ascii="Times New Roman" w:cs="Times New Roman" w:eastAsia="Times New Roman" w:hAnsi="Times New Roman"/>
          <w:i/>
          <w:iCs/>
          <w:sz w:val="24"/>
          <w:szCs w:val="24"/>
        </w:rPr>
        <w:t xml:space="preserve">what is the operational uncertainty of the dispatched predictions, and how do refusal gates change that uncertainty in practice?</w:t>
      </w:r>
    </w:p>
    <w:p>
      <w:pPr>
        <w:spacing w:after="0" w:line="480"/>
        <w:ind w:firstLine="431"/>
        <w:jc w:val="both"/>
      </w:pPr>
      <w:r>
        <w:rPr>
          <w:rFonts w:ascii="Times New Roman" w:cs="Times New Roman" w:eastAsia="Times New Roman" w:hAnsi="Times New Roman"/>
          <w:sz w:val="24"/>
          <w:szCs w:val="24"/>
        </w:rPr>
        <w:t xml:space="preserve">Two conventions apply throughout. Errors in a fitted exponent are dimensionless, since β is a dimensionless power; errors in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are quoted in dex. An earlier version of this manuscript reported exponent errors in dex, which made a value such as 10.10 read as ten orders of magnitude in current density when it is in fact a dimensionless exponent error. Second, every result below is labeled with the critical-scale implementation it was computed through, following Section II.C, and results on the field axis carry the additional qualification developed in Section III.F. Readers coming from superconductivity rather than statistics may find Table S2 of the Supplemental Material useful: it gives the condensed-matter reading of each term used here, including the anchor as the pre-exponential factor of the power law.</w:t>
      </w:r>
    </w:p>
    <w:p>
      <w:pPr>
        <w:spacing w:after="0" w:line="480"/>
        <w:ind w:firstLine="431"/>
        <w:jc w:val="both"/>
      </w:pPr>
      <w:r>
        <w:rPr>
          <w:rFonts w:ascii="Times New Roman" w:cs="Times New Roman" w:eastAsia="Times New Roman" w:hAnsi="Times New Roman"/>
          <w:sz w:val="24"/>
          <w:szCs w:val="24"/>
        </w:rPr>
        <w:t xml:space="preserve">We compare against three baselines from the existing superconductor-prediction literature. The first is monolithic regression of the field exponent against compositional descriptors, the natural extension of the cross-compound approach used for transition temperature </w:t>
      </w:r>
      <w:r>
        <w:rPr>
          <w:rFonts w:ascii="Times New Roman" w:cs="Times New Roman" w:eastAsia="Times New Roman" w:hAnsi="Times New Roman"/>
          <w:sz w:val="24"/>
          <w:szCs w:val="24"/>
        </w:rPr>
        <w:t xml:space="preserve">[5, 7, 8]</w:t>
      </w:r>
      <w:r>
        <w:rPr>
          <w:rFonts w:ascii="Times New Roman" w:cs="Times New Roman" w:eastAsia="Times New Roman" w:hAnsi="Times New Roman"/>
          <w:sz w:val="24"/>
          <w:szCs w:val="24"/>
        </w:rPr>
        <w:t xml:space="preserve">. The second is universal reduced-variable scaling, in which a single global exponent describes every compound after temperature and field are scaled by their critical values, motivated by classical pinning-force scaling </w:t>
      </w:r>
      <w:r>
        <w:rPr>
          <w:rFonts w:ascii="Times New Roman" w:cs="Times New Roman" w:eastAsia="Times New Roman" w:hAnsi="Times New Roman"/>
          <w:sz w:val="24"/>
          <w:szCs w:val="24"/>
        </w:rPr>
        <w:t xml:space="preserve">[12, 13]</w:t>
      </w:r>
      <w:r>
        <w:rPr>
          <w:rFonts w:ascii="Times New Roman" w:cs="Times New Roman" w:eastAsia="Times New Roman" w:hAnsi="Times New Roman"/>
          <w:sz w:val="24"/>
          <w:szCs w:val="24"/>
        </w:rPr>
        <w:t xml:space="preserve">. The third is an intermediate family-conditional baseline that fits a single exponent per substructure family without conditioning on sample form, which isolates the benefit of knowing family identity from the benefit of having sample-form context.</w:t>
      </w:r>
    </w:p>
    <w:p>
      <w:pPr>
        <w:pStyle w:val="Heading2"/>
        <w:spacing w:after="200" w:before="360"/>
        <w:jc w:val="center"/>
      </w:pPr>
      <w:r>
        <w:rPr>
          <w:rFonts w:ascii="Times New Roman" w:cs="Times New Roman" w:eastAsia="Times New Roman" w:hAnsi="Times New Roman"/>
          <w:b/>
          <w:bCs/>
          <w:color w:val="000000"/>
          <w:sz w:val="24"/>
          <w:szCs w:val="24"/>
        </w:rPr>
        <w:t xml:space="preserve">A. Variance decomposition</w:t>
      </w:r>
    </w:p>
    <w:p>
      <w:pPr>
        <w:spacing w:after="0" w:line="480"/>
        <w:ind w:firstLine="431"/>
        <w:jc w:val="both"/>
      </w:pPr>
      <w:r>
        <w:rPr>
          <w:rFonts w:ascii="Times New Roman" w:cs="Times New Roman" w:eastAsia="Times New Roman" w:hAnsi="Times New Roman"/>
          <w:i/>
          <w:iCs/>
          <w:sz w:val="24"/>
          <w:szCs w:val="24"/>
        </w:rPr>
        <w:t xml:space="preserve">Aggregation across three scopes.</w:t>
      </w:r>
      <w:r>
        <w:rPr>
          <w:rFonts w:ascii="Times New Roman" w:cs="Times New Roman" w:eastAsia="Times New Roman" w:hAnsi="Times New Roman"/>
          <w:sz w:val="24"/>
          <w:szCs w:val="24"/>
        </w:rPr>
        <w:t xml:space="preserve"> Stage 1 classifies compounds by substructure and regresses the field exponent against a compositional descriptor. The regression is univariate ordinary least squares on the mean maximum Pauling electronegativity across seven substructure families, with leave-one-substructure-out validation; it is not a MAGPIE feature-vector model, and we name it precisely here because that was ambiguous in the earlier presentation. The descriptor carries genuine but weak rank information. An earlier version of this section quantified it as a Spearman coefficient of 0.635 with a 95% confidence interval of [0.061, 0.948]. That figure is withdrawn: it was computed on the nine-family version of the descriptor table, two of whose families have since been withdrawn, and on the mean field exponent where this stage regresses the median. On the seven families that remain the coefficient is 0.408 on the median and 0.593 on the mean, and a bootstrap interval on either contains zero and reaches unity, because a rank correlation over seven points of which three share an identical descriptor value cannot be estimated more tightly than that. We therefore report the rank-position result below, which is the quantity this stage was validated on and which needs no interval. Stage 1 gives a leave-one-substructure-out mean absolute error of 12.30 in the dimensionless field exponent, across the seven substructure families that carry a descriptor. Most of this comes from cuprate measurement-window saturation: in many cuprate reports the measured curves cover only a small fraction of the upper critical field, so the fitted field exponent reaches an imposed regression ceiling (Supplemental Material Sec. 1). The rank-position error remains 1.00, so Stage 1 serves as a rank-signal and classification step rather than a final predictor.</w:t>
      </w:r>
    </w:p>
    <w:p>
      <w:pPr>
        <w:spacing w:after="0" w:line="480"/>
        <w:ind w:firstLine="431"/>
        <w:jc w:val="both"/>
      </w:pPr>
      <w:r>
        <w:rPr>
          <w:rFonts w:ascii="Times New Roman" w:cs="Times New Roman" w:eastAsia="Times New Roman" w:hAnsi="Times New Roman"/>
          <w:sz w:val="24"/>
          <w:szCs w:val="24"/>
        </w:rPr>
        <w:t xml:space="preserve">Stage 2 groups the extracted exponents by sample form within each substructure and uses the median of each (substructure, sample form) cell. Comparing the two stages requires care, and we report the comparison in the form that survives it. The Stage 1 error was computed across the nine substructure families of an earlier version of this analysis and the Stage 2 error across the five families that carried populated sample-form cells, so the headline ratio of 10.10 to 0.43 compares different cohorts. Restricting to the matched five-family cohort removes that particular defect but not the more serious one: in both comparisons the predictor for a family is built from a pool that contains that family's own fits, so neither figure is a statement about generalization. We therefore report the comparison under leave-one-substructure-out, in which the held-out family is withheld at every stage. We do not report a fold improvement. An earlier version of this section gave 1.07, 2.24 and 1.83 across the three cohorts, and those are withdrawn: the sample-form-conditional scope is undefined for the </w:t>
      </w:r>
      <w:r>
        <w:rPr>
          <w:rFonts w:ascii="Times New Roman" w:cs="Times New Roman" w:eastAsia="Times New Roman" w:hAnsi="Times New Roman"/>
          <w:sz w:val="24"/>
          <w:szCs w:val="24"/>
        </w:rPr>
        <w:t>MgB</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 xml:space="preserve"> class, because once the cuprate families are removed no other family contributes a bulk or wire fit, so two of the three divided a four-family numerator by a three-family denominator, which is the mismatched-cohort defect this same paragraph identifies in the original ratio. They were also the lowest of four ways of forming the conditional prediction, and the lowest is not the same one on every cohort. We give the errors instead: across the seven families the leave-one-substructure-out mean absolute error is 12.3 without sample-form conditioning and 14.9 with it, and on the fits passing physicality it is 1.19 and 0.55 over the three families the conditional scope can score. Neither predictor is distinguishable from the out-of-sample median of the training fits, which uses no family and no sample form at all, and removing any single family moves the comparison across unity. The corpus cannot separate the two effects, because sample form is nearly nested within substructure here: wire occurs in one family only, and holding a substructure out removes most of its forms from the training pool. All figures are computed on βH and therefore inherit the field-scale qualification of Section III.F. We no longer present a single fold-improvement headline.</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p>
    <w:p>
      <w:pPr>
        <w:spacing w:after="0" w:line="480"/>
        <w:ind w:firstLine="431"/>
        <w:jc w:val="both"/>
      </w:pPr>
      <w:r>
        <w:rPr>
          <w:rFonts w:ascii="Times New Roman" w:cs="Times New Roman" w:eastAsia="Times New Roman" w:hAnsi="Times New Roman"/>
          <w:sz w:val="24"/>
          <w:szCs w:val="24"/>
        </w:rPr>
        <w:t xml:space="preserve">Stage 3 reports a substructure-level central tendency with an explicit interquartile range. An earlier version of this section gave its error as 0.84 in the field exponent and called it a leave-one-substructure-out error. It is not one. That figure comes from the same generator and the same run as the Stage 1 and Stage 2 values withdrawn above, and it carries the same defect: the median that predicts a held-out family is computed over a pool that includes that family, so two of its five terms are zero by construction. Under genuine withholding, on the cuprates-removed cohort the interquartile result below is computed on, the Stage 3 error is 0.816. It exceeds the Stage 2 error because the reporting scope is broader. Stages 2 and 3 serve different prediction regimes and are not competing versions of the same model.</w:t>
      </w:r>
    </w:p>
    <w:p>
      <w:pPr>
        <w:spacing w:after="0" w:line="480"/>
        <w:ind w:firstLine="431"/>
        <w:jc w:val="both"/>
      </w:pPr>
      <w:r>
        <w:rPr>
          <w:rFonts w:ascii="Times New Roman" w:cs="Times New Roman" w:eastAsia="Times New Roman" w:hAnsi="Times New Roman"/>
          <w:i/>
          <w:iCs/>
          <w:sz w:val="24"/>
          <w:szCs w:val="24"/>
        </w:rPr>
        <w:t xml:space="preserve">The variance-decomposition diagnostic. This test is what sets the conditioning rule the predictor follows, family by family. It is not what establishes that conditioning is required: as we set out below, sample form is very nearly a relabelling of source paper in this corpus, and the claim that substructure conditioning is required rests on the temperature-axis separation reported in Sec. III.C rather than on this diagnostic or on the stage comparison above. The diagnostic is computed on the critical-current anchor,</w:t>
      </w:r>
      <w:r>
        <w:rPr>
          <w:rFonts w:ascii="Times New Roman" w:cs="Times New Roman" w:eastAsia="Times New Roman" w:hAnsi="Times New Roman"/>
          <w:sz w:val="24"/>
          <w:szCs w:val="24"/>
        </w:rPr>
        <w:t xml:space="preserve">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at the lowest measured temperature and field, which involves no fitted exponent and no critical-field scale. For each family we compute the fraction of within-substructure variance in the anchor explained by differences between sample forms, equivalent to eta-squared in a one-way analysis of variance of sample-form groups </w:t>
      </w:r>
      <w:r>
        <w:rPr>
          <w:rFonts w:ascii="Times New Roman" w:cs="Times New Roman" w:eastAsia="Times New Roman" w:hAnsi="Times New Roman"/>
          <w:sz w:val="24"/>
          <w:szCs w:val="24"/>
        </w:rPr>
        <w:t xml:space="preserve">[37]</w:t>
      </w:r>
      <w:r>
        <w:rPr>
          <w:rFonts w:ascii="Times New Roman" w:cs="Times New Roman" w:eastAsia="Times New Roman" w:hAnsi="Times New Roman"/>
          <w:sz w:val="24"/>
          <w:szCs w:val="24"/>
        </w:rPr>
        <w:t xml:space="preserve">.</w:t>
      </w:r>
    </w:p>
    <w:p>
      <w:pPr>
        <w:tabs>
          <w:tab w:val="center" w:pos="4680"/>
          <w:tab w:val="right" w:pos="9360"/>
        </w:tabs>
        <w:spacing w:after="240" w:before="240" w:line="240"/>
        <w:jc w:val="left"/>
      </w:pPr>
      <w:r>
        <w:rPr>
          <w:rFonts w:ascii="Times New Roman" w:cs="Times New Roman" w:eastAsia="Times New Roman" w:hAnsi="Times New Roman"/>
          <w:sz w:val="24"/>
          <w:szCs w:val="24"/>
        </w:rPr>
        <w:t xml:space="preserve">	</w:t>
      </w:r>
      <m:oMath>
        <m:sSup>
          <m:e>
            <m:r>
              <m:t>η</m:t>
            </m:r>
          </m:e>
          <m:sup>
            <m:r>
              <m:t>2</m:t>
            </m:r>
          </m:sup>
        </m:sSup>
        <m:r>
          <m:rPr>
            <m:sty m:val="p"/>
          </m:rPr>
          <m:t>=</m:t>
        </m:r>
        <m:f>
          <m:fPr>
            <m:type m:val="bar"/>
          </m:fPr>
          <m:num>
            <m:nary>
              <m:naryPr>
                <m:chr m:val="∑"/>
                <m:limLoc m:val="undOvr"/>
                <m:subHide m:val="off"/>
                <m:supHide m:val="on"/>
              </m:naryPr>
              <m:sub>
                <m:r>
                  <m:t>f</m:t>
                </m:r>
              </m:sub>
              <m:sup>
                <m:r>
                  <m:t>​</m:t>
                </m:r>
              </m:sup>
              <m:e>
                <m:sSub>
                  <m:e>
                    <m:r>
                      <m:t>n</m:t>
                    </m:r>
                  </m:e>
                  <m:sub>
                    <m:r>
                      <m:t>f</m:t>
                    </m:r>
                  </m:sub>
                </m:sSub>
              </m:e>
            </m:nary>
            <m:r>
              <m:t> </m:t>
            </m:r>
            <m:sSup>
              <m:e>
                <m:d>
                  <m:dPr>
                    <m:begChr m:val="("/>
                    <m:sepChr m:val=""/>
                    <m:endChr m:val=")"/>
                    <m:grow/>
                  </m:dPr>
                  <m:e>
                    <m:sSub>
                      <m:e>
                        <m:acc>
                          <m:accPr>
                            <m:chr m:val="‾"/>
                          </m:accPr>
                          <m:e>
                            <m:r>
                              <m:t>y</m:t>
                            </m:r>
                          </m:e>
                        </m:acc>
                      </m:e>
                      <m:sub>
                        <m:r>
                          <m:t>f</m:t>
                        </m:r>
                      </m:sub>
                    </m:sSub>
                    <m:r>
                      <m:rPr>
                        <m:sty m:val="p"/>
                      </m:rPr>
                      <m:t>−</m:t>
                    </m:r>
                    <m:acc>
                      <m:accPr>
                        <m:chr m:val="‾"/>
                      </m:accPr>
                      <m:e>
                        <m:r>
                          <m:t>y</m:t>
                        </m:r>
                      </m:e>
                    </m:acc>
                  </m:e>
                </m:d>
              </m:e>
              <m:sup>
                <m:r>
                  <m:t>2</m:t>
                </m:r>
              </m:sup>
            </m:sSup>
          </m:num>
          <m:den>
            <m:nary>
              <m:naryPr>
                <m:chr m:val="∑"/>
                <m:limLoc m:val="undOvr"/>
                <m:subHide m:val="off"/>
                <m:supHide m:val="on"/>
              </m:naryPr>
              <m:sub>
                <m:r>
                  <m:t>f</m:t>
                </m:r>
              </m:sub>
              <m:sup>
                <m:r>
                  <m:t>​</m:t>
                </m:r>
              </m:sup>
              <m:e>
                <m:nary>
                  <m:naryPr>
                    <m:chr m:val="∑"/>
                    <m:limLoc m:val="undOvr"/>
                    <m:subHide m:val="off"/>
                    <m:supHide m:val="on"/>
                  </m:naryPr>
                  <m:sub>
                    <m:r>
                      <m:t>i</m:t>
                    </m:r>
                    <m:r>
                      <m:rPr>
                        <m:sty m:val="p"/>
                      </m:rPr>
                      <m:t>∈</m:t>
                    </m:r>
                    <m:r>
                      <m:t>f</m:t>
                    </m:r>
                  </m:sub>
                  <m:sup>
                    <m:r>
                      <m:t>​</m:t>
                    </m:r>
                  </m:sup>
                  <m:e>
                    <m:sSup>
                      <m:e>
                        <m:d>
                          <m:dPr>
                            <m:begChr m:val="("/>
                            <m:sepChr m:val=""/>
                            <m:endChr m:val=")"/>
                            <m:grow/>
                          </m:dPr>
                          <m:e>
                            <m:sSub>
                              <m:e>
                                <m:r>
                                  <m:t>y</m:t>
                                </m:r>
                              </m:e>
                              <m:sub>
                                <m:r>
                                  <m:t>i</m:t>
                                </m:r>
                              </m:sub>
                            </m:sSub>
                            <m:r>
                              <m:rPr>
                                <m:sty m:val="p"/>
                              </m:rPr>
                              <m:t>−</m:t>
                            </m:r>
                            <m:acc>
                              <m:accPr>
                                <m:chr m:val="‾"/>
                              </m:accPr>
                              <m:e>
                                <m:r>
                                  <m:t>y</m:t>
                                </m:r>
                              </m:e>
                            </m:acc>
                          </m:e>
                        </m:d>
                      </m:e>
                      <m:sup>
                        <m:r>
                          <m:t>2</m:t>
                        </m:r>
                      </m:sup>
                    </m:sSup>
                  </m:e>
                </m:nary>
              </m:e>
            </m:nary>
          </m:den>
        </m:f>
        <m:r>
          <m:rPr>
            <m:sty m:val="p"/>
          </m:rPr>
          <m:t>,</m:t>
        </m:r>
        <m:r>
          <m:t>  </m:t>
        </m:r>
        <m:r>
          <m:t>y</m:t>
        </m:r>
        <m:r>
          <m:rPr>
            <m:sty m:val="p"/>
          </m:rPr>
          <m:t>=</m:t>
        </m:r>
        <m:sSub>
          <m:e>
            <m:r>
              <m:rPr>
                <m:sty m:val="p"/>
              </m:rPr>
              <m:t>log</m:t>
            </m:r>
          </m:e>
          <m:sub>
            <m:r>
              <m:t>10</m:t>
            </m:r>
          </m:sub>
        </m:sSub>
        <m:sSubSup>
          <m:e>
            <m:r>
              <m:t>J</m:t>
            </m:r>
          </m:e>
          <m:sub>
            <m:r>
              <m:t>c</m:t>
            </m:r>
          </m:sub>
          <m:sup>
            <m:r>
              <m:t> </m:t>
            </m:r>
            <m:r>
              <m:rPr>
                <m:sty m:val="p"/>
              </m:rPr>
              <m:t>a</m:t>
            </m:r>
            <m:r>
              <m:rPr>
                <m:sty m:val="p"/>
              </m:rPr>
              <m:t>n</m:t>
            </m:r>
            <m:r>
              <m:rPr>
                <m:sty m:val="p"/>
              </m:rPr>
              <m:t>c</m:t>
            </m:r>
            <m:r>
              <m:rPr>
                <m:sty m:val="p"/>
              </m:rPr>
              <m:t>h</m:t>
            </m:r>
            <m:r>
              <m:rPr>
                <m:sty m:val="p"/>
              </m:rPr>
              <m:t>o</m:t>
            </m:r>
            <m:r>
              <m:rPr>
                <m:sty m:val="p"/>
              </m:rPr>
              <m:t>r</m:t>
            </m:r>
          </m:sup>
        </m:sSubSup>
      </m:oMath>
      <w:r>
        <w:rPr>
          <w:rFonts w:ascii="Times New Roman" w:cs="Times New Roman" w:eastAsia="Times New Roman" w:hAnsi="Times New Roman"/>
          <w:sz w:val="24"/>
          <w:szCs w:val="24"/>
        </w:rPr>
        <w:t xml:space="preserve">	(8)</w:t>
      </w:r>
    </w:p>
    <w:p>
      <w:pPr>
        <w:spacing w:after="0" w:line="480"/>
        <w:ind w:firstLine="431"/>
        <w:jc w:val="both"/>
      </w:pPr>
      <w:r>
        <w:rPr>
          <w:rFonts w:ascii="Times New Roman" w:cs="Times New Roman" w:eastAsia="Times New Roman" w:hAnsi="Times New Roman"/>
          <w:sz w:val="24"/>
          <w:szCs w:val="24"/>
        </w:rPr>
        <w:t>A value near one means sample form accounts for nearly all within-family scatter in the anchor; a value near zero means it accounts for almost none. This is a direct test of whether sample form is a useful conditioning variable, and the resulting regime label drives the exponent aggregation used for prediction. The label is assigned by two cuts on the ratio, which we state here because earlier versions of this manuscript did not: above 0.7 the family is treated as sample-form dominant, from 0.3 to 0.7 as moderate, and below 0.3 as minor. These are not the applicability window of Eq. (1), which uses the same two numbers on reduced temperature and reduced field. Two qualifications belong with them. The cuts are applied to the uncorrected ratio, and applying the small-sample bias correction we invoke for the MgB2 class to every family instead moves the iron chalcogenide family below the lower cut on the deposited anchors and the 122-type family below it on the repaired anchors. The one family that remains above the upper cut clears it by 0.0007. No dispatched prediction changes under either correction, because the families that move emit nothing, but the classification is not stable and we do not present it as one. We verified this quantity independently of the field-axis corrections described in Section III.F: all 96 per-paper anchor groups are identical before and after the magnetic-field unit repair, because the anchor does not use the field scale.</w:t>
      </w:r>
    </w:p>
    <w:p>
      <w:pPr>
        <w:spacing w:after="0" w:line="480"/>
        <w:ind w:firstLine="431"/>
        <w:jc w:val="both"/>
      </w:pPr>
      <w:r>
        <w:rPr>
          <w:rFonts w:ascii="Times New Roman" w:cs="Times New Roman" w:eastAsia="Times New Roman" w:hAnsi="Times New Roman"/>
          <w:sz w:val="24"/>
          <w:szCs w:val="24"/>
        </w:rPr>
        <w:t xml:space="preserve">The diagnostic yields two distinct outcomes, summarized in Fig. 3, and we state at the outset what it can and cannot establish. On the deposited anchors the ratio is 0.37 for iron chalcogenide 11-type, 0.49 for iron pnictide 122-type and 0.12 for </w:t>
      </w:r>
      <w:r>
        <w:rPr>
          <w:rFonts w:ascii="Times New Roman" w:cs="Times New Roman" w:eastAsia="Times New Roman" w:hAnsi="Times New Roman"/>
          <w:sz w:val="24"/>
          <w:szCs w:val="24"/>
        </w:rPr>
        <w:t>MgB</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 xml:space="preserve">-class. An earlier version of this section gave 0.35 for the 122-type family, which reproduces from no cohort in the deposit and is corrected here. After the anchor repair of Section III.F, which withdraws 26 of the 96 rows and corrects a scale error on 15 more, the same three are 0.81 on 5 samples, 0.37 on 5 and 0.04 on 13. The direction is unchanged and the separation between the </w:t>
      </w:r>
      <w:r>
        <w:rPr>
          <w:rFonts w:ascii="Times New Roman" w:cs="Times New Roman" w:eastAsia="Times New Roman" w:hAnsi="Times New Roman"/>
          <w:sz w:val="24"/>
          <w:szCs w:val="24"/>
        </w:rPr>
        <w:t>MgB</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 xml:space="preserve"> class and the others is wider, so the regime distinction the predictor uses is the one the data indicate: sample-form conditioning is informative rather than required for the two iron-based families, the predictor uses Stage 2 medians where the cell is populated and falls back to the single-crystal cell otherwise, and for </w:t>
      </w:r>
      <w:r>
        <w:rPr>
          <w:rFonts w:ascii="Times New Roman" w:cs="Times New Roman" w:eastAsia="Times New Roman" w:hAnsi="Times New Roman"/>
          <w:sz w:val="24"/>
          <w:szCs w:val="24"/>
        </w:rPr>
        <w:t>MgB</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 xml:space="preserve">-class it uses substructure-aggregate scope with the full interquartile range as uncertainty. What the diagnostic does not do is establish that distinction to any standard of significance, and the reason is structural rather than a matter of sample size alone. Sample form is very nearly a relabelling of source paper in this corpus: one of the 29 contributing papers carried more than one sample form before the repair and none of the 20 does after it. Under a null that shuffles the form label between papers, which is the only null that respects that structure, and that holds each form's sample count at its observed value, the MgB2-class cell admits a single labelling and therefore returns a probability of 1 however clean its separation, while the iron chalcogenide and 122-type cells admit four labellings and ten. An earlier version of this section gave three labellings and a floor of 0.33 for the MgB2-class cell, which counts the ways of splitting its three source papers into two groups without holding the wire and bulk sample counts fixed, while the four and the ten were already the size-preserving counts; the same null is now applied to all three families. The exact probabilities are 0.25 for the iron chalcogenide cell, which is its floor, 0.30 for the 122-type cell and 1 for MgB2-class, and analysis/anchor_form_permutation.py enumerates them. The iron chalcogenide ratio of 0.81 is the largest of the ten arrangements its five samples admit, so it is the cleanest separation this cohort can produce and it still cannot reach a probability below 0.25.</w:t>
      </w:r>
      <w:r>
        <w:rPr>
          <w:rFonts w:ascii="Times New Roman" w:cs="Times New Roman" w:eastAsia="Times New Roman" w:hAnsi="Times New Roman"/>
          <w:sz w:val="24"/>
          <w:szCs w:val="24"/>
        </w:rPr>
        <w:t/>
      </w:r>
      <w:r>
        <w:rPr>
          <w:rFonts w:ascii="Times New Roman" w:cs="Times New Roman" w:eastAsia="Times New Roman" w:hAnsi="Times New Roman"/>
          <w:sz w:val="24"/>
          <w:szCs w:val="24"/>
          <w:vertAlign w:val="subscript"/>
        </w:rPr>
        <w:t/>
      </w:r>
      <w:r>
        <w:rPr>
          <w:rFonts w:ascii="Times New Roman" w:cs="Times New Roman" w:eastAsia="Times New Roman" w:hAnsi="Times New Roman"/>
          <w:sz w:val="24"/>
          <w:szCs w:val="24"/>
        </w:rPr>
        <w:t xml:space="preserve"> Corrected for the upward bias this statistic carries at small sample size, the </w:t>
      </w:r>
      <w:r>
        <w:rPr>
          <w:rFonts w:ascii="Times New Roman" w:cs="Times New Roman" w:eastAsia="Times New Roman" w:hAnsi="Times New Roman"/>
          <w:sz w:val="24"/>
          <w:szCs w:val="24"/>
        </w:rPr>
        <w:t>MgB</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-class value is negative, which is to say its between-form separation is smaller than the grouping produces by chance. We therefore report the regime labels as the rule the predictor follows and as consistent with the data, not as a tested finding, and we state the measurement that would test them: source papers reporting several sample forms of one compound, which this corpus does not supply.</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xml:space="preserve"> Ignoring the paper structure and permuting the form label directly over physical samples, which is the more favourable of the two tests, the MgB2-class ratio gives a probability of 0.49 on the repaired cohort of 13 physical samples and 0.21 on the deposited cohort of 15. Neither distinguishes this low ratio from a weak sample-form signal concealed by sampling noise.</w:t>
      </w:r>
      <w:r>
        <w:rPr>
          <w:rFonts w:ascii="Times New Roman" w:cs="Times New Roman" w:eastAsia="Times New Roman" w:hAnsi="Times New Roman"/>
          <w:i w:val="false"/>
          <w:iCs w:val="false"/>
          <w:sz w:val="24"/>
          <w:szCs w:val="24"/>
          <w:vertAlign w:val="subscript"/>
        </w:rPr>
        <w:t xml:space="preserve"/>
      </w:r>
      <w:r>
        <w:rPr>
          <w:rFonts w:ascii="Times New Roman" w:cs="Times New Roman" w:eastAsia="Times New Roman" w:hAnsi="Times New Roman"/>
          <w:sz w:val="24"/>
          <w:szCs w:val="24"/>
        </w:rPr>
        <w:t xml:space="preserve"/>
      </w:r>
      <w:r>
        <w:rPr>
          <w:rFonts w:ascii="Times New Roman" w:cs="Times New Roman" w:eastAsia="Times New Roman" w:hAnsi="Times New Roman"/>
          <w:i/>
          <w:iCs/>
          <w:sz w:val="24"/>
          <w:szCs w:val="24"/>
        </w:rPr>
        <w:t xml:space="preserve"/>
      </w:r>
      <w:r>
        <w:rPr>
          <w:rFonts w:ascii="Times New Roman" w:cs="Times New Roman" w:eastAsia="Times New Roman" w:hAnsi="Times New Roman"/>
          <w:sz w:val="24"/>
          <w:szCs w:val="24"/>
        </w:rPr>
        <w:t xml:space="preserve"/>
      </w:r>
      <w:r>
        <w:rPr>
          <w:rFonts w:ascii="Times New Roman" w:cs="Times New Roman" w:eastAsia="Times New Roman" w:hAnsi="Times New Roman"/>
          <w:i/>
          <w:iCs/>
          <w:sz w:val="24"/>
          <w:szCs w:val="24"/>
        </w:rPr>
        <w:t xml:space="preserve"/>
      </w:r>
      <w:r>
        <w:rPr>
          <w:rFonts w:ascii="Times New Roman" w:cs="Times New Roman" w:eastAsia="Times New Roman" w:hAnsi="Times New Roman"/>
          <w:sz w:val="24"/>
          <w:szCs w:val="24"/>
        </w:rPr>
        <w:t xml:space="preserve"> Substructure-aggregate scope is therefore adopted as the reasonable default for this class rather than as a demonstrated absence of sample-form dependence.</w:t>
      </w:r>
    </w:p>
    <w:p>
      <w:pPr>
        <w:spacing w:after="0" w:line="480"/>
        <w:ind w:firstLine="431"/>
        <w:jc w:val="both"/>
      </w:pPr>
      <w:r>
        <w:rPr>
          <w:rFonts w:ascii="Times New Roman" w:cs="Times New Roman" w:eastAsia="Times New Roman" w:hAnsi="Times New Roman"/>
          <w:sz w:val="24"/>
          <w:szCs w:val="24"/>
        </w:rPr>
        <w:t xml:space="preserve">The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-class result carries the general lesson. Sample form is not the right conditioning variable for every family; in this class the dominant missing variables are more likely composition, defect structure, connectivity, and processing route </w:t>
      </w:r>
      <w:r>
        <w:rPr>
          <w:rFonts w:ascii="Times New Roman" w:cs="Times New Roman" w:eastAsia="Times New Roman" w:hAnsi="Times New Roman"/>
          <w:sz w:val="24"/>
          <w:szCs w:val="24"/>
        </w:rPr>
        <w:t xml:space="preserve">[38]</w:t>
      </w:r>
      <w:r>
        <w:rPr>
          <w:rFonts w:ascii="Times New Roman" w:cs="Times New Roman" w:eastAsia="Times New Roman" w:hAnsi="Times New Roman"/>
          <w:sz w:val="24"/>
          <w:szCs w:val="24"/>
        </w:rPr>
        <w:t xml:space="preserve">. This reading is consistent with the two-band character of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and with its well-documented sensitivity to production route, both of which act through variables the sample-form label does not capture. The diagnostic therefore changes the role of aggregation. It does not impose one hierarchy on all superconductors. It asks, family by family, which physical or experimental variable explains the variance that a naive model would misattribute to chemistry alone. </w:t>
      </w:r>
      <w:r>
        <w:rPr>
          <w:rFonts w:ascii="Times New Roman" w:cs="Times New Roman" w:eastAsia="Times New Roman" w:hAnsi="Times New Roman"/>
          <w:i/>
          <w:iCs/>
          <w:sz w:val="24"/>
          <w:szCs w:val="24"/>
        </w:rPr>
        <w:t xml:space="preserve">This is what allows the framework to make bounded predictions from messy literature instead of fitting a large but poorly specified dataset with false confidence.</w:t>
      </w:r>
    </w:p>
    <w:p>
      <w:pPr>
        <w:spacing w:after="120" w:before="240"/>
        <w:jc w:val="center"/>
      </w:pPr>
      <w:r>
        <w:drawing>
          <wp:inline distT="0" distB="0" distL="0" distR="0">
            <wp:extent cx="5715000" cy="2889327"/>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889327"/>
                    </a:xfrm>
                    <a:prstGeom prst="rect">
                      <a:avLst/>
                    </a:prstGeom>
                  </pic:spPr>
                </pic:pic>
              </a:graphicData>
            </a:graphic>
          </wp:inline>
        </w:drawing>
      </w:r>
    </w:p>
    <w:p>
      <w:pPr>
        <w:spacing w:after="360" w:line="240"/>
        <w:jc w:val="both"/>
      </w:pPr>
      <w:r>
        <w:rPr>
          <w:rFonts w:ascii="Times New Roman" w:cs="Times New Roman" w:eastAsia="Times New Roman" w:hAnsi="Times New Roman"/>
          <w:b/>
          <w:bCs/>
          <w:sz w:val="20"/>
          <w:szCs w:val="20"/>
        </w:rPr>
        <w:t xml:space="preserve">FIG. 3.</w:t>
      </w:r>
      <w:r>
        <w:rPr>
          <w:rFonts w:ascii="Times New Roman" w:cs="Times New Roman" w:eastAsia="Times New Roman" w:hAnsi="Times New Roman"/>
          <w:sz w:val="20"/>
          <w:szCs w:val="20"/>
        </w:rPr>
        <w:t xml:space="preserve"> Empirical test for sample-form conditioning across superconducting substructures. Each panel shows critical-current anchor values grouped by sample form within a populated substructure family. The panels draw the repaired anchor cohort of Sec. III.F, the 70 of the 96 per-paper anchor records of Table I that carry no withdrawal. Of those 70, 40 fall in the three families shown and the remainder in families not plotted here. The 40 collapse to the 23 markers drawn, because multiple isotherms of one physical sample are averaged into a single record before plotting: 5 for iron chalcogenide 11-type, 5 for iron pnictide 122-type, and 13 for MgB2-class.</w:t>
      </w:r>
      <w:r>
        <w:rPr>
          <w:rFonts w:ascii="Times New Roman" w:cs="Times New Roman" w:eastAsia="Times New Roman" w:hAnsi="Times New Roman"/>
          <w:i w:val="false"/>
          <w:iCs w:val="false"/>
          <w:sz w:val="20"/>
          <w:szCs w:val="20"/>
          <w:vertAlign w:val="subscript"/>
        </w:rPr>
      </w:r>
      <w:r>
        <w:rPr>
          <w:rFonts w:ascii="Times New Roman" w:cs="Times New Roman" w:eastAsia="Times New Roman" w:hAnsi="Times New Roman"/>
          <w:sz w:val="20"/>
          <w:szCs w:val="20"/>
        </w:rPr>
        <w:t xml:space="preserve"> Markers are therefore per physical sample, and are fewer in number than the per-curve fit counts quoted in the tables. Markers are colored by substructure. Horizontal bars give the median for each (substructure, sample-form) cell, and shaded boxes give the empirical interquartile range (q25–q75) within each cell. The fraction of variance explained by sample form defines the prediction regime. Iron chalcogenide 11-type materials show strong sample-form separation, requiring sample-form-conditioned prediction. Iron pnictide 122-type materials show intermediate separation, so sample-form conditioning is used when available. MgB</w:t>
      </w:r>
      <w:r>
        <w:rPr>
          <w:rFonts w:ascii="Times New Roman" w:cs="Times New Roman" w:eastAsia="Times New Roman" w:hAnsi="Times New Roman"/>
          <w:i w:val="false"/>
          <w:iCs w:val="false"/>
          <w:sz w:val="20"/>
          <w:szCs w:val="20"/>
          <w:vertAlign w:val="subscript"/>
        </w:rPr>
        <w:t xml:space="preserve">2</w:t>
      </w:r>
      <w:r>
        <w:rPr>
          <w:rFonts w:ascii="Times New Roman" w:cs="Times New Roman" w:eastAsia="Times New Roman" w:hAnsi="Times New Roman"/>
          <w:sz w:val="20"/>
          <w:szCs w:val="20"/>
        </w:rPr>
        <w:t xml:space="preserve">-class materials show weak separation, so the model falls back to substructure-level aggregation. A cell holding one record is flagged n = 1 and drawn without a median bar or interquartile band, since one point has no spread to characterize; no cell of the repaired cohort holds one.</w:t>
      </w:r>
      <w:r>
        <w:rPr>
          <w:rFonts w:ascii="Times New Roman" w:cs="Times New Roman" w:eastAsia="Times New Roman" w:hAnsi="Times New Roman"/>
          <w:i/>
          <w:iCs/>
          <w:sz w:val="20"/>
          <w:szCs w:val="20"/>
        </w:rPr>
        <w:t xml:space="preserve"/>
      </w:r>
      <w:r>
        <w:rPr>
          <w:rFonts w:ascii="Times New Roman" w:cs="Times New Roman" w:eastAsia="Times New Roman" w:hAnsi="Times New Roman"/>
          <w:sz w:val="20"/>
          <w:szCs w:val="20"/>
        </w:rPr>
        <w:t xml:space="preserve"> The quantity plotted is the critical-current anchor, which uses neither a fitted exponent nor an upper-critical-field scale, so it is unaffected by the magnetic-field unit repair of Sec. III.F. The anchor repair of that same section is a separate matter and does reach these records: it withdraws 26 of the 96 and rescales 15. The panels here plot the repaired anchors, so the ratios shown are 0.81, 0.37 and 0.04; on the anchors as deposited the same three are 0.37, 0.49 and 0.12, and Sec. III.A and Table III give both cohorts. The regime assignment is the same on each. The two iron-based panels rest on five physical samples in two sample forms, and Sec. III.A gives the exact permutation probabilities that follow from that.</w:t>
      </w:r>
    </w:p>
    <w:p>
      <w:pPr>
        <w:pStyle w:val="Heading2"/>
        <w:spacing w:after="200" w:before="360"/>
        <w:jc w:val="center"/>
      </w:pPr>
      <w:r>
        <w:rPr>
          <w:rFonts w:ascii="Times New Roman" w:cs="Times New Roman" w:eastAsia="Times New Roman" w:hAnsi="Times New Roman"/>
          <w:b/>
          <w:bCs/>
          <w:color w:val="000000"/>
          <w:sz w:val="24"/>
          <w:szCs w:val="24"/>
        </w:rPr>
        <w:t xml:space="preserve">B. External validation and the K-anchor refusal gate</w:t>
      </w:r>
    </w:p>
    <w:p>
      <w:pPr>
        <w:spacing w:after="0" w:line="480"/>
        <w:ind w:firstLine="431"/>
        <w:jc w:val="both"/>
      </w:pPr>
      <w:r>
        <w:rPr>
          <w:rFonts w:ascii="Times New Roman" w:cs="Times New Roman" w:eastAsia="Times New Roman" w:hAnsi="Times New Roman"/>
          <w:sz w:val="24"/>
          <w:szCs w:val="24"/>
        </w:rPr>
        <w:t xml:space="preserve">The anchor-count gate is set by external validation. Beyond selecting conditioning variables, we must ask how many reference compounds are needed before a cross-compound prediction can be trusted; the answer sets the threshold for the </w:t>
      </w:r>
      <w:r>
        <w:rPr>
          <w:rFonts w:ascii="Times New Roman" w:cs="Times New Roman" w:eastAsia="Times New Roman" w:hAnsi="Times New Roman"/>
          <w:i/>
          <w:iCs/>
          <w:sz w:val="24"/>
          <w:szCs w:val="24"/>
        </w:rPr>
        <w:t xml:space="preserve">K</w:t>
      </w:r>
      <w:r>
        <w:rPr>
          <w:rFonts w:ascii="Times New Roman" w:cs="Times New Roman" w:eastAsia="Times New Roman" w:hAnsi="Times New Roman"/>
          <w:sz w:val="24"/>
          <w:szCs w:val="24"/>
        </w:rPr>
        <w:t xml:space="preserve">-anchor refusal gate. Set wrongly, it either discards useful predictions or admits unreliable ones. We evaluated this on four out-of-corpus cuprates. With one anchor compound the pooled mean absolute error is 1.592 dex in log10 Jc. We note the unit explicitly because an earlier version of this section reported it as an error in the field exponent, and because a further comparison against an in-corpus baseline of 0.567 has been removed: that value is not derivable from the deposit and it is not on the same scale as 1.592. A transition-temperature-only baseline reaches 1.166 dex on the same compounds and outperforms the one-anchor predictor for every cuprate. Single-anchor prediction is therefore insufficient on external data.</w:t>
      </w:r>
    </w:p>
    <w:p>
      <w:pPr>
        <w:spacing w:after="0" w:line="480"/>
        <w:ind w:firstLine="431"/>
        <w:jc w:val="both"/>
      </w:pPr>
      <w:r>
        <w:rPr>
          <w:rFonts w:ascii="Times New Roman" w:cs="Times New Roman" w:eastAsia="Times New Roman" w:hAnsi="Times New Roman"/>
          <w:sz w:val="24"/>
          <w:szCs w:val="24"/>
        </w:rPr>
        <w:t xml:space="preserve">The three-anchor condition improves performance substantially (Fig. 4). After excluding the non-monotonic cuprate, the method was evaluated on the remaining three monotonic cuprates. The pooled error on those three decreases to 0.694. Comparing the four-compound one-anchor value of 1.592 against the four-compound three-anchor value of 0.927 gives a 41.8% reduction, and the matched three-compound reduction is 45.2%, so the two ratios rest on different cohorts, which is the same error we correct elsewhere in this section. On the matched three monotonic cuprates the one-anchor error is 1.267 dex, the three-anchor error is 0.694 dex, and the reduction is 45.2%. That figure has to be read with the composition of the two held-out sets in front of it, which we did not previously give. The two arms score almost entirely different points, 46 against 48 with one shared coordinate, and they sit in different regimes relative to the anchors: the one-anchor set is entirely extrapolation, while a little over half the three-anchor set is interpolation. On the one regime both arms populate equally, low-side extrapolation with twelve points each, the improvement is 2.3% rather than 45.2%. The gate is therefore set on a comparison that is substantially a comparison of where the held-out points sit, and we report the requirement of three anchors as a conservative operating choice rather than as a measured 45% gain. Rank ordering improves strongly, with Spearman correlation reaching +1.000 and precision at </w:t>
      </w:r>
      <w:r>
        <w:rPr>
          <w:rFonts w:ascii="Times New Roman" w:cs="Times New Roman" w:eastAsia="Times New Roman" w:hAnsi="Times New Roman"/>
          <w:i/>
          <w:iCs/>
          <w:sz w:val="24"/>
          <w:szCs w:val="24"/>
        </w:rPr>
        <w:t xml:space="preserve">K</w:t>
      </w:r>
      <w:r>
        <w:rPr>
          <w:rFonts w:ascii="Times New Roman" w:cs="Times New Roman" w:eastAsia="Times New Roman" w:hAnsi="Times New Roman"/>
          <w:sz w:val="24"/>
          <w:szCs w:val="24"/>
        </w:rPr>
        <w:t xml:space="preserve"> = 3, the fraction of the true top-three compounds appearing in the predicted top-three list, reaching 1.000 on this external cuprate test for every regime in which the three-anchor comparison is well defined (Supplemental Material Sec. 4). The separate in-corpus ranking test of Supplemental Material Sec. 6 reaches 0.667 on the same metric, and the two should not be conflated. The requirement of at least three anchor measurements is therefore an empirical boundary for reliable prediction in this literature-derived setting.</w:t>
      </w:r>
    </w:p>
    <w:p>
      <w:pPr>
        <w:spacing w:after="120" w:before="240"/>
        <w:jc w:val="center"/>
      </w:pPr>
      <w:r>
        <w:drawing>
          <wp:inline distT="0" distB="0" distL="0" distR="0">
            <wp:extent cx="5715000" cy="5388429"/>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5388429"/>
                    </a:xfrm>
                    <a:prstGeom prst="rect">
                      <a:avLst/>
                    </a:prstGeom>
                  </pic:spPr>
                </pic:pic>
              </a:graphicData>
            </a:graphic>
          </wp:inline>
        </w:drawing>
      </w:r>
    </w:p>
    <w:p>
      <w:pPr>
        <w:spacing w:after="360" w:line="240"/>
        <w:jc w:val="both"/>
      </w:pPr>
      <w:r>
        <w:rPr>
          <w:rFonts w:ascii="Times New Roman" w:cs="Times New Roman" w:eastAsia="Times New Roman" w:hAnsi="Times New Roman"/>
          <w:b/>
          <w:bCs/>
          <w:sz w:val="20"/>
          <w:szCs w:val="20"/>
        </w:rPr>
        <w:t xml:space="preserve">FIG. 4.</w:t>
      </w:r>
      <w:r>
        <w:rPr>
          <w:rFonts w:ascii="Times New Roman" w:cs="Times New Roman" w:eastAsia="Times New Roman" w:hAnsi="Times New Roman"/>
          <w:sz w:val="20"/>
          <w:szCs w:val="20"/>
        </w:rPr>
        <w:t xml:space="preserve"> Anchor-count sensitivity in external cuprate validation. Markers show the pooled L1 mean absolute error in log10 Jc, in dex, at each anchor-count value K. This is a prediction error in critical current and not an error in the field exponent, which the two conventions of Sec. II.A distinguish.</w:t>
      </w:r>
      <w:r>
        <w:rPr>
          <w:rFonts w:ascii="Times New Roman" w:cs="Times New Roman" w:eastAsia="Times New Roman" w:hAnsi="Times New Roman"/>
          <w:i/>
          <w:iCs/>
          <w:sz w:val="20"/>
          <w:szCs w:val="20"/>
        </w:rPr>
        <w:t xml:space="preserve"/>
      </w:r>
      <w:r>
        <w:rPr>
          <w:rFonts w:ascii="Times New Roman" w:cs="Times New Roman" w:eastAsia="Times New Roman" w:hAnsi="Times New Roman"/>
          <w:i w:val="false"/>
          <w:iCs w:val="false"/>
          <w:sz w:val="20"/>
          <w:szCs w:val="20"/>
          <w:vertAlign w:val="subscript"/>
        </w:rPr>
        <w:t xml:space="preserve"/>
      </w:r>
      <w:r>
        <w:rPr>
          <w:rFonts w:ascii="Times New Roman" w:cs="Times New Roman" w:eastAsia="Times New Roman" w:hAnsi="Times New Roman"/>
          <w:sz w:val="20"/>
          <w:szCs w:val="20"/>
        </w:rPr>
        <w:t xml:space="preserve"/>
      </w:r>
      <w:r>
        <w:rPr>
          <w:rFonts w:ascii="Times New Roman" w:cs="Times New Roman" w:eastAsia="Times New Roman" w:hAnsi="Times New Roman"/>
          <w:i/>
          <w:iCs/>
          <w:sz w:val="20"/>
          <w:szCs w:val="20"/>
        </w:rPr>
        <w:t xml:space="preserve"/>
      </w:r>
      <w:r>
        <w:rPr>
          <w:rFonts w:ascii="Times New Roman" w:cs="Times New Roman" w:eastAsia="Times New Roman" w:hAnsi="Times New Roman"/>
          <w:sz w:val="20"/>
          <w:szCs w:val="20"/>
        </w:rPr>
        <w:t xml:space="preserve"> Error bars give the 95% bootstrap confidence interval (5000 iterations, percentile method) on the pooled error: at </w:t>
      </w:r>
      <w:r>
        <w:rPr>
          <w:rFonts w:ascii="Times New Roman" w:cs="Times New Roman" w:eastAsia="Times New Roman" w:hAnsi="Times New Roman"/>
          <w:i/>
          <w:iCs/>
          <w:sz w:val="20"/>
          <w:szCs w:val="20"/>
        </w:rPr>
        <w:t xml:space="preserve">K</w:t>
      </w:r>
      <w:r>
        <w:rPr>
          <w:rFonts w:ascii="Times New Roman" w:cs="Times New Roman" w:eastAsia="Times New Roman" w:hAnsi="Times New Roman"/>
          <w:sz w:val="20"/>
          <w:szCs w:val="20"/>
        </w:rPr>
        <w:t xml:space="preserve"> = 1 across all four held-out cuprates, at </w:t>
      </w:r>
      <w:r>
        <w:rPr>
          <w:rFonts w:ascii="Times New Roman" w:cs="Times New Roman" w:eastAsia="Times New Roman" w:hAnsi="Times New Roman"/>
          <w:i/>
          <w:iCs/>
          <w:sz w:val="20"/>
          <w:szCs w:val="20"/>
        </w:rPr>
        <w:t xml:space="preserve">K</w:t>
      </w:r>
      <w:r>
        <w:rPr>
          <w:rFonts w:ascii="Times New Roman" w:cs="Times New Roman" w:eastAsia="Times New Roman" w:hAnsi="Times New Roman"/>
          <w:sz w:val="20"/>
          <w:szCs w:val="20"/>
        </w:rPr>
        <w:t xml:space="preserve"> = 3 across the three monotonic cuprates after the non-monotonic compound is refused. The </w:t>
      </w:r>
      <w:r>
        <w:rPr>
          <w:rFonts w:ascii="Times New Roman" w:cs="Times New Roman" w:eastAsia="Times New Roman" w:hAnsi="Times New Roman"/>
          <w:i/>
          <w:iCs/>
          <w:sz w:val="20"/>
          <w:szCs w:val="20"/>
        </w:rPr>
        <w:t xml:space="preserve">K</w:t>
      </w:r>
      <w:r>
        <w:rPr>
          <w:rFonts w:ascii="Times New Roman" w:cs="Times New Roman" w:eastAsia="Times New Roman" w:hAnsi="Times New Roman"/>
          <w:sz w:val="20"/>
          <w:szCs w:val="20"/>
        </w:rPr>
        <w:t xml:space="preserve"> = 3 interval is narrower partly because the monotonic subset is more homogeneous and partly because the non-monotonic outlier has been correctly refused. The dashed line marks the transition-temperature-only baseline.</w:t>
      </w:r>
      <w:r>
        <w:rPr>
          <w:rFonts w:ascii="Times New Roman" w:cs="Times New Roman" w:eastAsia="Times New Roman" w:hAnsi="Times New Roman"/>
          <w:i/>
          <w:iCs/>
          <w:sz w:val="20"/>
          <w:szCs w:val="20"/>
        </w:rPr>
        <w:t xml:space="preserve"/>
      </w:r>
      <w:r>
        <w:rPr>
          <w:rFonts w:ascii="Times New Roman" w:cs="Times New Roman" w:eastAsia="Times New Roman" w:hAnsi="Times New Roman"/>
          <w:sz w:val="20"/>
          <w:szCs w:val="20"/>
        </w:rPr>
        <w:t xml:space="preserve"> The single-anchor predictor fails on the out-of-corpus cuprate test set, with larger error than the transition-temperature-only baseline. Requiring three anchor measurements restores predictive performance on the monotonic cuprate subset, reducing the error by 45.2% on the matched three-compound cohort and recovering the correct screening-grade rank order. This defines the anchor-density refusal gate.</w:t>
      </w:r>
    </w:p>
    <w:p>
      <w:pPr>
        <w:pStyle w:val="Heading2"/>
        <w:spacing w:after="200" w:before="360"/>
        <w:jc w:val="center"/>
      </w:pPr>
      <w:r>
        <w:rPr>
          <w:rFonts w:ascii="Times New Roman" w:cs="Times New Roman" w:eastAsia="Times New Roman" w:hAnsi="Times New Roman"/>
          <w:b/>
          <w:bCs/>
          <w:color w:val="000000"/>
          <w:sz w:val="24"/>
          <w:szCs w:val="24"/>
        </w:rPr>
        <w:t xml:space="preserve">C. Family-level applicability bound</w:t>
      </w:r>
    </w:p>
    <w:p>
      <w:pPr>
        <w:spacing w:after="0" w:line="480"/>
        <w:ind w:firstLine="431"/>
        <w:jc w:val="both"/>
      </w:pPr>
      <w:r>
        <w:rPr>
          <w:rFonts w:ascii="Times New Roman" w:cs="Times New Roman" w:eastAsia="Times New Roman" w:hAnsi="Times New Roman"/>
          <w:sz w:val="24"/>
          <w:szCs w:val="24"/>
        </w:rPr>
        <w:t xml:space="preserve">Having established the anchor-count requirement, the next question is which material families the framework can address at all. A compound leave-one-out validation within each substructure defines the applicability limits, and we report it separately for each exponent, because the two axes rest on different evidence. The temperature axis uses the transition temperature as its critical scale, a directly reported quantity available for every fitted curve. The field axis uses the upper critical field, whose provenance in this corpus is the subject of Section III.F. Reporting a single combined applicability number would obscure that difference.</w:t>
      </w:r>
    </w:p>
    <w:p>
      <w:pPr>
        <w:spacing w:after="0" w:line="480"/>
        <w:ind w:firstLine="431"/>
        <w:jc w:val="both"/>
      </w:pPr>
      <w:r>
        <w:rPr>
          <w:rFonts w:ascii="Times New Roman" w:cs="Times New Roman" w:eastAsia="Times New Roman" w:hAnsi="Times New Roman"/>
          <w:i/>
          <w:iCs/>
          <w:sz w:val="24"/>
          <w:szCs w:val="24"/>
        </w:rPr>
        <w:t xml:space="preserve">Temperature axis.</w:t>
      </w:r>
      <w:r>
        <w:rPr>
          <w:rFonts w:ascii="Times New Roman" w:cs="Times New Roman" w:eastAsia="Times New Roman" w:hAnsi="Times New Roman"/>
          <w:sz w:val="24"/>
          <w:szCs w:val="24"/>
        </w:rPr>
        <w:t xml:space="preserve"> Using the 257 temperature-axis fits that survive the transition-temperature repairs, with the substructure median as predictor and 2000 bootstrap resamples over source papers, three families carry enough compounds to support the test. Iron chalcogenide 11-type reaches 0.546 across three compounds and 87 fits, with every scorable bootstrap resample below the screening-grade threshold of 1 in the exponent. These are dimensionless exponent errors, and the threshold applied to them is likewise dimensionless; the 1 dex threshold quoted for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in Section III.E is a different quantity that happens to carry the same numerical value. Iron pnictide 122-type reaches 0.580 across two compounds, with 98% of resamples below threshold. Iron pnictide 1111-type reaches 0.513 across three compounds, with 100% below threshold. On the cohort as published these three errors were 0.588, 1.314 and 3.120, with 100%, 30% and 21% of resamples below threshold, and only the chalcogenide family cleared the threshold with confidence. The improvement has to be read with care. The threshold is an absolute bar of 1 in the exponent, and the repairs compress the exponents themselves: the mean absolute deviation of the 1111-type exponents from their family median falls from 1.456 to 0.438, and predicting every fit by that median with nothing held out already gives an error equal to that deviation, so a family can cross the bar without the predictor having improved. Two things indicate that is not the whole of it. The 122-type family sits below 1 in both cohorts and still moves from 30% to 98%, and the error divided by the family's own deviation falls in both moving families, from 1.37 to 1.24 and from 2.14 to 1.17. A third point runs the other way: the chalcogenide family loses two of its five compounds, both single fits, so its unchanged figure compares a five-fold estimator with a three-fold one. We report the errors on the repaired cohort with the compression stated beside them rather than claiming an improvement in the ratio of the two. One further qualification is larger than any of these and we state it here rather than in the supplement. The seventeen traceable figures behind this cohort have been pixel-traced and the exponent refit inside each deposited row's own temperature window, with the same transition temperature on both sides: of the fourteen that can be scored, none reproduces its deposited exponent, and the median ratio of refitted to deposited is 0.42. The rebuilt exponents are deposited with this paper. Recomputing the two results above on them, the substructure separation survives, at 0.359 with a permutation probability of 0.037 against 0.524 at 0.007 here, but the applicability result does not: the three compound leave-one-out errors become 1.435, 1.184 and 2.415, all above the threshold rather than below it. What differs is the exponents and not the composition, since the rebuild re-reads sixteen of these eighteen papers and adds none, and the deposited cohort restricted to those sixteen still gives a median exponent of 1.277 against the rebuild's 2.576. Two differences in construction bear on how the two are compared: the rebuild evaluates a geometric grid of ten interpolated fields per paper rather than each source's own field values, and it applies the reduced-temperature clause per point rather than per fit. Aggregating one observation per paper and compound instead of per fit, the deposited errors are 0.472, 0.476 and 0.301 and the rebuilt ones are 0.867, 1.007 and 2.264. We report the deposited cohort because every other result in this paper is built on it, and we report this disagreement because it is the deposit's own evidence about the same seventeen figures. The comparison is regenerated by analysis/temperature_axis_cohorts.py.</w:t>
      </w:r>
    </w:p>
    <w:p>
      <w:pPr>
        <w:spacing w:after="0" w:line="480"/>
        <w:ind w:firstLine="431"/>
        <w:jc w:val="both"/>
      </w:pPr>
      <w:r>
        <w:rPr>
          <w:rFonts w:ascii="Times New Roman" w:cs="Times New Roman" w:eastAsia="Times New Roman" w:hAnsi="Times New Roman"/>
          <w:sz w:val="24"/>
          <w:szCs w:val="24"/>
        </w:rPr>
        <w:t>The 122-type family now holds two compounds on this axis, Ba(FeAs)2 with 84 fits and K(FeAs)2 with 21. A leave-one-compound-out across two compounds is a statement about how well each predicts the other, and we report it as that rather than as a family-level generalization test.</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xml:space="preserve">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-class materials cannot be assessed on this axis by leave-one-compound-out at all, because the 257-fit temperature-exponent cohort contains no </w:t>
      </w:r>
      <w:r>
        <w:rPr>
          <w:rFonts w:ascii="Times New Roman" w:cs="Times New Roman" w:eastAsia="Times New Roman" w:hAnsi="Times New Roman"/>
          <w:sz w:val="24"/>
          <w:szCs w:val="24"/>
        </w:rPr>
        <w:t>MgB</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 xml:space="preserve"> fits, as the 260-fit cohort before the repairs did not</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the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literature in this corpus reports field sweeps at fixed temperature far more often than temperature sweeps at fixed field. The dispatch nevertheless emits temperature-dependent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-class predictions, and we state where that exponent comes from rather than leaving it implicit. It is drawn from a separate per-paper Form 3 cohort of 15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fits across 15 arXiv sources, spanning bulk, thin-film, wire and tape specimens, with a median βT of 1.14. Six of the fifteen rest on three points, which is the minimum a three-parameter form admits, and two of those six return temperature exponents of 0.011 and 0.211. The largest rms in the cohort is 0.474 in log10 Jc. An earlier version of this sentence described one fit resting on three points and one fitting with an rms of 6.3; the second was a transcription of 6.3 by ten to the minus fourteenth, which is a fit to a constant, with a temperature exponent of three by ten to the minus thirteenth and a prefactor of exactly 6.0, and is the best-conditioned row in the file rather than the worst.</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xml:space="preserve"> That cohort is large enough to supply a family median but too small and too concentrated in one compound to support a leave-one-compound-out test, which is why the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-class temperature axis is dispatched but not validated, and why Table III records it as not assessable rather than as passing.</w:t>
      </w:r>
    </w:p>
    <w:p>
      <w:pPr>
        <w:spacing w:after="0" w:line="480"/>
        <w:ind w:firstLine="431"/>
        <w:jc w:val="both"/>
      </w:pPr>
      <w:r>
        <w:rPr>
          <w:rFonts w:ascii="Times New Roman" w:cs="Times New Roman" w:eastAsia="Times New Roman" w:hAnsi="Times New Roman"/>
          <w:i/>
          <w:iCs/>
          <w:sz w:val="24"/>
          <w:szCs w:val="24"/>
        </w:rPr>
        <w:t xml:space="preserve">Field axis.</w:t>
      </w:r>
      <w:r>
        <w:rPr>
          <w:rFonts w:ascii="Times New Roman" w:cs="Times New Roman" w:eastAsia="Times New Roman" w:hAnsi="Times New Roman"/>
          <w:sz w:val="24"/>
          <w:szCs w:val="24"/>
        </w:rPr>
        <w:t xml:space="preserve"> The same protocol on the field-axis cohort gives 0.753 for MgB2-class, 0.973 for iron pnictide 122-type and 1.093 for iron chalcogenide 11-type, with iron pnictide 1111-type at 2.571.</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xml:space="preserve"> These values are computed through the per-paper resolved critical scale of Section II.C and are conditional on it. The ordering across families is no longer the same on both axes: iron chalcogenide 11-type is first on the temperature axis and third on the field axis. Repeating the field-axis test with a substructure-median predictor, matching the temperature-axis protocol exactly, gives 0.751, 0.929, 1.094 and 2.622, and reproduces the field-axis ordering.</w:t>
      </w:r>
    </w:p>
    <w:p>
      <w:pPr>
        <w:spacing w:after="0" w:line="480"/>
        <w:ind w:firstLine="431"/>
        <w:jc w:val="both"/>
      </w:pPr>
      <w:r>
        <w:rPr>
          <w:rFonts w:ascii="Times New Roman" w:cs="Times New Roman" w:eastAsia="Times New Roman" w:hAnsi="Times New Roman"/>
          <w:sz w:val="24"/>
          <w:szCs w:val="24"/>
        </w:rPr>
        <w:t xml:space="preserve">The applicability claim we carry forward is therefore graded rather than uniform, and on the field axis we no longer carry one. On the temperature axis, whose critical scale is directly reported, all three assessable families fall below the screening-grade threshold on the repaired cohort, at 0.546 for iron chalcogenide 11-type, 0.580 for iron pnictide 122-type and 0.513 for iron pnictide 1111-type, against 0.588, 1.314 and 3.120 on the cohort as published, where only the chalcogenide family passed. Section III.C states what part of that movement is a change of scale rather than of predictive skill, and the qualified claim made there is the one we carry. On the temperature axis the substructure label separates the families and the anchor repair strengthens the separation. Taking source papers as the unit and shuffling the substructure label between them, the fraction of between-paper variance in the temperature exponent that the family label accounts for is 0.524 with a permutation p of 0.007 after the repair; matched on the seventeen papers common to both versions it was 0.436 with p of 0.016 before it. It uses no fitted field scale, and it is what the conditioning claim rests on. An earlier version of this section called it the one result that improved under every correction. That is not accurate: at the step that removed two papers whose extractions could not be reproduced, eta squared rose while the permutation probability rose with it, from 0.012 on nineteen papers to 0.016 on the seventeen matched ones, and both are reported as the result. We test the label against a stronger null than a shuffle across papers, because the family label is constant within a compound and the obvious objection is that it is compound identity with fewer labels. The seventeen papers carry eight compounds, and every distinct way of forming three families from those eight compounds can be enumerated rather than sampled: there are 966, and four of them reach the observed separation, an exact probability of 0.0041. Taking one observation per compound instead of per paper it is 0.0083. Restricting the enumeration to groupings that also match the real family sizes leaves 280, of which two reach it, and one of those two is an alternative grouping that separates the exponent slightly better than the substructure label does, at 0.532. The family label is therefore not a relabelling of compound identity on this axis, and it is also not the only grouping of these compounds that would separate the exponent. The enumeration is in analysis/family_label_compound_null.py. On the field axis we report no family-level verdict at all, for three reasons. The cohort that survives the anchor repairs and the stated fitting protocol is 52 fits from 12 papers rather than 94 from 16. The fitted field exponent does not separate substructure families on either cohort: the fraction of between-paper variance that the family label accounts for is 0.038 with a permutation p of 0.98 after repair and 0.055 with p of 0.93 before it. And the per-family leave-one-compound-out errors reverse when the anchors are corrected, </w:t>
      </w:r>
      <w:r>
        <w:rPr>
          <w:rFonts w:ascii="Times New Roman" w:cs="Times New Roman" w:eastAsia="Times New Roman" w:hAnsi="Times New Roman"/>
          <w:sz w:val="24"/>
          <w:szCs w:val="24"/>
        </w:rPr>
        <w:t>MgB</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-class moving from 0.753 to 1.230 and iron pnictide 122-type from 0.973 to 1.957 while iron chalcogenide 11-type moves from 1.093 to 0.707, so the two families that cleared the threshold stop clearing and the one that failed starts. A family-level verdict that changes sign when the scale behind it is corrected is not a verdict, and we withdraw the three we previously reported rather than replace them with their mirror image. Table III records the temperature-axis result for each family and records the field axis as not validated, and the dispatch of Section III.E carries that label through to the predictions.</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p>
    <w:p>
      <w:pPr>
        <w:spacing w:after="0" w:line="480"/>
        <w:ind w:firstLine="431"/>
        <w:jc w:val="both"/>
      </w:pPr>
      <w:r>
        <w:rPr>
          <w:rFonts w:ascii="Times New Roman" w:cs="Times New Roman" w:eastAsia="Times New Roman" w:hAnsi="Times New Roman"/>
          <w:sz w:val="24"/>
          <w:szCs w:val="24"/>
        </w:rPr>
        <w:t xml:space="preserve">The 1111-type result also illustrates why prediction scope must be stated precisely. The same family supports accurate per-compound parametric fitting when sufficient data exist for a specific material: LaFeAsO gives a field-exponent error of 0.022 at per-compound parametric scope. The failure occurs when generalizing from one 1111-type compound to another through a single substructure-level central tendency. This distinction prevents an accurate fit for one compound from being read as a reliable cross-compound predictor for the family.</w:t>
      </w:r>
    </w:p>
    <w:p>
      <w:pPr>
        <w:spacing w:after="0" w:line="480"/>
        <w:ind w:firstLine="431"/>
        <w:jc w:val="both"/>
      </w:pPr>
      <w:r>
        <w:rPr>
          <w:rFonts w:ascii="Times New Roman" w:cs="Times New Roman" w:eastAsia="Times New Roman" w:hAnsi="Times New Roman"/>
          <w:sz w:val="24"/>
          <w:szCs w:val="24"/>
        </w:rPr>
        <w:t xml:space="preserve">All validation results are reported with explicit scope labels. A rank-order test, a universality test, a substructure-level uncertainty estimate, and a per-paper leave-one-out test probe different aspects of the method, and each is tied to its cohort, protocol, and predictor configuration. This labeling is essential for a literature-derived model, where the same numerical value can carry different meanings depending on how the data were grouped.</w:t>
      </w:r>
    </w:p>
    <w:p>
      <w:pPr>
        <w:pStyle w:val="Heading2"/>
        <w:spacing w:after="200" w:before="360"/>
        <w:jc w:val="center"/>
      </w:pPr>
      <w:r>
        <w:rPr>
          <w:rFonts w:ascii="Times New Roman" w:cs="Times New Roman" w:eastAsia="Times New Roman" w:hAnsi="Times New Roman"/>
          <w:b/>
          <w:bCs/>
          <w:color w:val="000000"/>
          <w:sz w:val="24"/>
          <w:szCs w:val="24"/>
        </w:rPr>
        <w:t xml:space="preserve">D. In-corpus ranking and universal scaling tests</w:t>
      </w:r>
    </w:p>
    <w:p>
      <w:pPr>
        <w:spacing w:after="0" w:line="480"/>
        <w:ind w:firstLine="431"/>
        <w:jc w:val="both"/>
      </w:pPr>
      <w:r>
        <w:rPr>
          <w:rFonts w:ascii="Times New Roman" w:cs="Times New Roman" w:eastAsia="Times New Roman" w:hAnsi="Times New Roman"/>
          <w:sz w:val="24"/>
          <w:szCs w:val="24"/>
        </w:rPr>
        <w:t xml:space="preserve">Each of the 23 fully fittable compounds of the pre-withdrawal cohort is held out in turn while the remainder train the predictor, and the held-out compound is ranked using the three-anchor protocol. Across the tested anchor-selection regimes (Supplemental Material Sec. 6) the Spearman correlation ranges from +0.582 to +0.964, and precision at </w:t>
      </w:r>
      <w:r>
        <w:rPr>
          <w:rFonts w:ascii="Times New Roman" w:cs="Times New Roman" w:eastAsia="Times New Roman" w:hAnsi="Times New Roman"/>
          <w:i/>
          <w:iCs/>
          <w:sz w:val="24"/>
          <w:szCs w:val="24"/>
        </w:rPr>
        <w:t xml:space="preserve">K</w:t>
      </w:r>
      <w:r>
        <w:rPr>
          <w:rFonts w:ascii="Times New Roman" w:cs="Times New Roman" w:eastAsia="Times New Roman" w:hAnsi="Times New Roman"/>
          <w:sz w:val="24"/>
          <w:szCs w:val="24"/>
        </w:rPr>
        <w:t xml:space="preserve"> = 3 is 0.667 wherever the three-anchor comparison is well defined. The aggregation therefore retains useful rank signal inside the calibrated fittable cohort when sufficient anchors are available. This supports ranking within the validated regime, not unrestricted ranking across arbitrary compounds, and it applies to compounds that have measured curves in the corpus, not to the unmeasured candidates of Section III.E.</w:t>
      </w:r>
    </w:p>
    <w:p>
      <w:pPr>
        <w:spacing w:after="0" w:line="480"/>
        <w:ind w:firstLine="431"/>
        <w:jc w:val="both"/>
      </w:pPr>
      <w:r>
        <w:rPr>
          <w:rFonts w:ascii="Times New Roman" w:cs="Times New Roman" w:eastAsia="Times New Roman" w:hAnsi="Times New Roman"/>
          <w:sz w:val="24"/>
          <w:szCs w:val="24"/>
        </w:rPr>
        <w:t xml:space="preserve">Next we test a simpler alternative: universal reduced-variable scaling, under which a single exponent would characterize the diverse cohort once temperature and field are normalized to their critical values. This test runs through the closed-form path of Section II.C, which takes the upper critical field directly from the compiled reference table and does not use the per-paper resolved scale. It is therefore not conditional on the field-axis provenance issue of Section III.F, and we verified separately that the cohort it uses shares no source papers with those affected by the magnetic-field unit repair.</w:t>
      </w:r>
    </w:p>
    <w:p>
      <w:pPr>
        <w:spacing w:after="0" w:line="480"/>
        <w:ind w:firstLine="431"/>
        <w:jc w:val="both"/>
      </w:pPr>
      <w:r>
        <w:rPr>
          <w:rFonts w:ascii="Times New Roman" w:cs="Times New Roman" w:eastAsia="Times New Roman" w:hAnsi="Times New Roman"/>
          <w:sz w:val="24"/>
          <w:szCs w:val="24"/>
        </w:rPr>
        <w:t xml:space="preserve">The test bins the 23 fully fittable compounds of the pre-withdrawal cohort on an 81-cell grid formed from nine equal-width bins of width 0.1 in </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and nine in </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c2,0</w:t>
      </w:r>
      <w:r>
        <w:rPr>
          <w:rFonts w:ascii="Times New Roman" w:cs="Times New Roman" w:eastAsia="Times New Roman" w:hAnsi="Times New Roman"/>
          <w:sz w:val="24"/>
          <w:szCs w:val="24"/>
        </w:rPr>
        <w:t xml:space="preserve">, spanning 0 to 0.9 on each axis. Sixty-six cells meet the minimum population threshold of five records. The median within-bin standard deviation of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is 1.238 dex, against a global standard deviation of 1.423 dex over the same cohort under the same filters.</w:t>
      </w:r>
    </w:p>
    <w:p>
      <w:pPr>
        <w:spacing w:after="0" w:line="480"/>
        <w:ind w:firstLine="431"/>
        <w:jc w:val="both"/>
      </w:pPr>
      <w:r>
        <w:rPr>
          <w:rFonts w:ascii="Times New Roman" w:cs="Times New Roman" w:eastAsia="Times New Roman" w:hAnsi="Times New Roman"/>
          <w:sz w:val="24"/>
          <w:szCs w:val="24"/>
        </w:rPr>
        <w:t xml:space="preserve">We report two reduction metrics, because the distinction between them is a recurring source of confusion in scaling-collapse claims and because they differ here by roughly a factor of two. Writing σ̃</w:t>
      </w:r>
      <w:r>
        <w:rPr>
          <w:rFonts w:ascii="Times New Roman" w:cs="Times New Roman" w:eastAsia="Times New Roman" w:hAnsi="Times New Roman"/>
          <w:i w:val="false"/>
          <w:iCs w:val="false"/>
          <w:sz w:val="24"/>
          <w:szCs w:val="24"/>
          <w:vertAlign w:val="subscript"/>
        </w:rPr>
        <w:t xml:space="preserve">bin</w:t>
      </w:r>
      <w:r>
        <w:rPr>
          <w:rFonts w:ascii="Times New Roman" w:cs="Times New Roman" w:eastAsia="Times New Roman" w:hAnsi="Times New Roman"/>
          <w:sz w:val="24"/>
          <w:szCs w:val="24"/>
        </w:rPr>
        <w:t xml:space="preserve"> for the median within-bin standard deviation and σ</w:t>
      </w:r>
      <w:r>
        <w:rPr>
          <w:rFonts w:ascii="Times New Roman" w:cs="Times New Roman" w:eastAsia="Times New Roman" w:hAnsi="Times New Roman"/>
          <w:i w:val="false"/>
          <w:iCs w:val="false"/>
          <w:sz w:val="24"/>
          <w:szCs w:val="24"/>
          <w:vertAlign w:val="subscript"/>
        </w:rPr>
        <w:t xml:space="preserve">global</w:t>
      </w:r>
      <w:r>
        <w:rPr>
          <w:rFonts w:ascii="Times New Roman" w:cs="Times New Roman" w:eastAsia="Times New Roman" w:hAnsi="Times New Roman"/>
          <w:sz w:val="24"/>
          <w:szCs w:val="24"/>
        </w:rPr>
        <w:t xml:space="preserve"> for the standard deviation over the same cohort under the same filters:</w:t>
      </w:r>
    </w:p>
    <w:p>
      <w:pPr>
        <w:tabs>
          <w:tab w:val="center" w:pos="4680"/>
          <w:tab w:val="right" w:pos="9360"/>
        </w:tabs>
        <w:spacing w:after="240" w:before="240" w:line="240"/>
        <w:jc w:val="left"/>
      </w:pPr>
      <w:r>
        <w:rPr>
          <w:rFonts w:ascii="Times New Roman" w:cs="Times New Roman" w:eastAsia="Times New Roman" w:hAnsi="Times New Roman"/>
          <w:sz w:val="24"/>
          <w:szCs w:val="24"/>
        </w:rPr>
        <w:t xml:space="preserve">	</w:t>
      </w:r>
      <m:oMath>
        <m:sSub>
          <m:e>
            <m:r>
              <m:t>R</m:t>
            </m:r>
          </m:e>
          <m:sub>
            <m:r>
              <m:t>σ</m:t>
            </m:r>
          </m:sub>
        </m:sSub>
        <m:r>
          <m:rPr>
            <m:sty m:val="p"/>
          </m:rPr>
          <m:t>=</m:t>
        </m:r>
        <m:r>
          <m:t>1</m:t>
        </m:r>
        <m:r>
          <m:rPr>
            <m:sty m:val="p"/>
          </m:rPr>
          <m:t>−</m:t>
        </m:r>
        <m:f>
          <m:fPr>
            <m:type m:val="bar"/>
          </m:fPr>
          <m:num>
            <m:sSub>
              <m:e>
                <m:acc>
                  <m:accPr>
                    <m:chr m:val="̃"/>
                  </m:accPr>
                  <m:e>
                    <m:r>
                      <m:t>σ</m:t>
                    </m:r>
                  </m:e>
                </m:acc>
              </m:e>
              <m:sub>
                <m:r>
                  <m:rPr>
                    <m:sty m:val="p"/>
                  </m:rPr>
                  <m:t>b</m:t>
                </m:r>
                <m:r>
                  <m:rPr>
                    <m:sty m:val="p"/>
                  </m:rPr>
                  <m:t>i</m:t>
                </m:r>
                <m:r>
                  <m:rPr>
                    <m:sty m:val="p"/>
                  </m:rPr>
                  <m:t>n</m:t>
                </m:r>
              </m:sub>
            </m:sSub>
          </m:num>
          <m:den>
            <m:sSub>
              <m:e>
                <m:r>
                  <m:t>σ</m:t>
                </m:r>
              </m:e>
              <m:sub>
                <m:r>
                  <m:rPr>
                    <m:sty m:val="p"/>
                  </m:rPr>
                  <m:t>g</m:t>
                </m:r>
                <m:r>
                  <m:rPr>
                    <m:sty m:val="p"/>
                  </m:rPr>
                  <m:t>l</m:t>
                </m:r>
                <m:r>
                  <m:rPr>
                    <m:sty m:val="p"/>
                  </m:rPr>
                  <m:t>o</m:t>
                </m:r>
                <m:r>
                  <m:rPr>
                    <m:sty m:val="p"/>
                  </m:rPr>
                  <m:t>b</m:t>
                </m:r>
                <m:r>
                  <m:rPr>
                    <m:sty m:val="p"/>
                  </m:rPr>
                  <m:t>a</m:t>
                </m:r>
                <m:r>
                  <m:rPr>
                    <m:sty m:val="p"/>
                  </m:rPr>
                  <m:t>l</m:t>
                </m:r>
              </m:sub>
            </m:sSub>
          </m:den>
        </m:f>
      </m:oMath>
      <w:r>
        <w:rPr>
          <w:rFonts w:ascii="Times New Roman" w:cs="Times New Roman" w:eastAsia="Times New Roman" w:hAnsi="Times New Roman"/>
          <w:sz w:val="24"/>
          <w:szCs w:val="24"/>
        </w:rPr>
        <w:t xml:space="preserve">	(9)</w:t>
      </w:r>
    </w:p>
    <w:p>
      <w:pPr>
        <w:tabs>
          <w:tab w:val="center" w:pos="4680"/>
          <w:tab w:val="right" w:pos="9360"/>
        </w:tabs>
        <w:spacing w:after="240" w:before="240" w:line="240"/>
        <w:jc w:val="left"/>
      </w:pPr>
      <w:r>
        <w:rPr>
          <w:rFonts w:ascii="Times New Roman" w:cs="Times New Roman" w:eastAsia="Times New Roman" w:hAnsi="Times New Roman"/>
          <w:sz w:val="24"/>
          <w:szCs w:val="24"/>
        </w:rPr>
        <w:t xml:space="preserve">	</w:t>
      </w:r>
      <m:oMath>
        <m:sSub>
          <m:e>
            <m:r>
              <m:t>R</m:t>
            </m:r>
          </m:e>
          <m:sub>
            <m:r>
              <m:rPr>
                <m:sty m:val="p"/>
              </m:rPr>
              <m:t>v</m:t>
            </m:r>
            <m:r>
              <m:rPr>
                <m:sty m:val="p"/>
              </m:rPr>
              <m:t>a</m:t>
            </m:r>
            <m:r>
              <m:rPr>
                <m:sty m:val="p"/>
              </m:rPr>
              <m:t>r</m:t>
            </m:r>
          </m:sub>
        </m:sSub>
        <m:r>
          <m:rPr>
            <m:sty m:val="p"/>
          </m:rPr>
          <m:t>=</m:t>
        </m:r>
        <m:r>
          <m:t>1</m:t>
        </m:r>
        <m:r>
          <m:rPr>
            <m:sty m:val="p"/>
          </m:rPr>
          <m:t>−</m:t>
        </m:r>
        <m:sSup>
          <m:e>
            <m:d>
              <m:dPr>
                <m:begChr m:val="("/>
                <m:sepChr m:val=""/>
                <m:endChr m:val=")"/>
                <m:grow/>
              </m:dPr>
              <m:e>
                <m:f>
                  <m:fPr>
                    <m:type m:val="bar"/>
                  </m:fPr>
                  <m:num>
                    <m:sSub>
                      <m:e>
                        <m:acc>
                          <m:accPr>
                            <m:chr m:val="̃"/>
                          </m:accPr>
                          <m:e>
                            <m:r>
                              <m:t>σ</m:t>
                            </m:r>
                          </m:e>
                        </m:acc>
                      </m:e>
                      <m:sub>
                        <m:r>
                          <m:rPr>
                            <m:sty m:val="p"/>
                          </m:rPr>
                          <m:t>b</m:t>
                        </m:r>
                        <m:r>
                          <m:rPr>
                            <m:sty m:val="p"/>
                          </m:rPr>
                          <m:t>i</m:t>
                        </m:r>
                        <m:r>
                          <m:rPr>
                            <m:sty m:val="p"/>
                          </m:rPr>
                          <m:t>n</m:t>
                        </m:r>
                      </m:sub>
                    </m:sSub>
                  </m:num>
                  <m:den>
                    <m:sSub>
                      <m:e>
                        <m:r>
                          <m:t>σ</m:t>
                        </m:r>
                      </m:e>
                      <m:sub>
                        <m:r>
                          <m:rPr>
                            <m:sty m:val="p"/>
                          </m:rPr>
                          <m:t>g</m:t>
                        </m:r>
                        <m:r>
                          <m:rPr>
                            <m:sty m:val="p"/>
                          </m:rPr>
                          <m:t>l</m:t>
                        </m:r>
                        <m:r>
                          <m:rPr>
                            <m:sty m:val="p"/>
                          </m:rPr>
                          <m:t>o</m:t>
                        </m:r>
                        <m:r>
                          <m:rPr>
                            <m:sty m:val="p"/>
                          </m:rPr>
                          <m:t>b</m:t>
                        </m:r>
                        <m:r>
                          <m:rPr>
                            <m:sty m:val="p"/>
                          </m:rPr>
                          <m:t>a</m:t>
                        </m:r>
                        <m:r>
                          <m:rPr>
                            <m:sty m:val="p"/>
                          </m:rPr>
                          <m:t>l</m:t>
                        </m:r>
                      </m:sub>
                    </m:sSub>
                  </m:den>
                </m:f>
              </m:e>
            </m:d>
          </m:e>
          <m:sup>
            <m:r>
              <m:t>​</m:t>
            </m:r>
            <m:r>
              <m:t>2</m:t>
            </m:r>
          </m:sup>
        </m:sSup>
      </m:oMath>
      <w:r>
        <w:rPr>
          <w:rFonts w:ascii="Times New Roman" w:cs="Times New Roman" w:eastAsia="Times New Roman" w:hAnsi="Times New Roman"/>
          <w:sz w:val="24"/>
          <w:szCs w:val="24"/>
        </w:rPr>
        <w:t xml:space="preserve">	(10)</w:t>
      </w:r>
    </w:p>
    <w:p>
      <w:pPr>
        <w:spacing w:after="0" w:line="480"/>
        <w:ind w:firstLine="431"/>
        <w:jc w:val="both"/>
      </w:pPr>
      <w:r>
        <w:rPr>
          <w:rFonts w:ascii="Times New Roman" w:cs="Times New Roman" w:eastAsia="Times New Roman" w:hAnsi="Times New Roman"/>
          <w:sz w:val="24"/>
          <w:szCs w:val="24"/>
        </w:rPr>
        <w:t xml:space="preserve">Reduced-variable binning therefore reduces the within-bin standard deviation by 13.0%, equivalently a variance reduction of 24.3%. We report the standard-deviation figure as primary and give the variance-scale equivalent explicitly, because the two differ by roughly a factor of two and the distinction is a recurring source of confusion in scaling-collapse claims. A percentage on its own does not settle whether a collapse has occurred, because any binning of a two-dimensional cloud reduces within-bin scatter, and an earlier version of this section compared these figures against a 30% adoption bar for which we could give no construction. We therefore test the claim directly, on a point-level rebuild of this cohort covering 6070 digitized points from 27 papers, 18 compounds and 171 curves. First, standardize the two reduced coordinates and bin on a grid rotated to a random angle, which leaves the geometry and the local density of the cloud unchanged and destroys only the meaning of the axes. Over 400 rotations the physical grid gives 39.3% against the rotated grids' 41.6% on the same statistic, so the reduced coordinates are not better than a random rotation of themselves. Second, bin the same records on unnormalized temperature and applied field. That grid reduces the within-cell standard deviation by 67.0% on 42 cells against 39.3% on 73, and paired on the same resampled curves it wins by 27.7 points with a 95% interval of 4.7 to 37.5. The mechanism is visible in the cell composition: seventeen of the forty-two unnormalized cells hold a single compound against three of the seventy-three reduced cells, so the unnormalized grid separates compounds rather than collapsing them. Measurements cluster at a few conventional temperatures and low applied fields, and that convention tracks the material. That direction is not one number. It holds in all seven leave-one-family-out refits, at minimum cell sizes of 3, 5, 8 and 12, and with the duplicate digitisation of one figure removed. Both tests point the same way as the percentage: the organizing variables here are material identity and measurement context, not reduced temperature and reduced field. A third line of evidence reaches the same place from model selection rather than from binning. Under a source-paper holdout, in which every measurement of a held-out source is withheld, none of the three candidate functional forms of Sec. II.C reaches a median error below 0.9 dex, against 0.32 to 0.45 dex when the holdout is drawn point by point within a compound. That is a factor of eight or more in critical current between predicting an unseen measurement of a source already seen and predicting an unseen source. It rests on the eight compounds that draw on more than one source, so we report it as a direction rather than as a measurement.</w:t>
      </w:r>
    </w:p>
    <w:p>
      <w:pPr>
        <w:spacing w:after="0" w:line="480"/>
        <w:ind w:firstLine="431"/>
        <w:jc w:val="both"/>
      </w:pPr>
      <w:r>
        <w:rPr>
          <w:rFonts w:ascii="Times New Roman" w:cs="Times New Roman" w:eastAsia="Times New Roman" w:hAnsi="Times New Roman"/>
          <w:sz w:val="24"/>
          <w:szCs w:val="24"/>
        </w:rPr>
        <w:t xml:space="preserve">Because 14 of the 23 compounds draw their upper critical field from the estimated tier of the reference table (Sec. II.B), we tested whether the conclusion depends on those estimates. Perturbing all 14 by independent lognormal factors with a 35% one-sigma scale error and repeating the binning 400 times, the standard-deviation reduction stayed below 30% in every draw and the variance-scale reduction reached 30% in 9 of the 400. The reduction is therefore stable against the accuracy of the estimated critical fields on the metric we report as primary and moves a little on the other. The 30% figure appears here only as the reference level used in the original submission, and it no longer carries a decision.</w:t>
      </w:r>
    </w:p>
    <w:p>
      <w:pPr>
        <w:spacing w:after="0" w:line="480"/>
        <w:ind w:firstLine="431"/>
        <w:jc w:val="both"/>
      </w:pPr>
      <w:r>
        <w:rPr>
          <w:rFonts w:ascii="Times New Roman" w:cs="Times New Roman" w:eastAsia="Times New Roman" w:hAnsi="Times New Roman"/>
          <w:sz w:val="24"/>
          <w:szCs w:val="24"/>
        </w:rPr>
        <w:t xml:space="preserve">The residual variance, at minimum 76% of the global variance even under the most charitable variance-scale reading, is associated with compound identity, sample form, and substructure family. A family-conditional exponent model provides only marginal improvement over a global-exponent model: median holdout error in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of 0.604 dex against 0.613 dex, a gain of 0.009 dex that is below bootstrap precision. The per-compound parametric reference reaches 0.260 dex. Universal scaling is therefore too coarse for this corpus and family-only conditioning is insufficient; the operational prediction scope must retain both the substructure family and the measurement context.</w:t>
      </w:r>
    </w:p>
    <w:p>
      <w:pPr>
        <w:spacing w:after="140" w:before="360" w:line="240"/>
        <w:jc w:val="both"/>
      </w:pPr>
      <w:r>
        <w:rPr>
          <w:rFonts w:ascii="Times New Roman" w:cs="Times New Roman" w:eastAsia="Times New Roman" w:hAnsi="Times New Roman"/>
          <w:b/>
          <w:bCs/>
          <w:sz w:val="20"/>
          <w:szCs w:val="20"/>
        </w:rPr>
        <w:t xml:space="preserve">TABLE III.</w:t>
      </w:r>
      <w:r>
        <w:rPr>
          <w:rFonts w:ascii="Times New Roman" w:cs="Times New Roman" w:eastAsia="Times New Roman" w:hAnsi="Times New Roman"/>
          <w:sz w:val="20"/>
          <w:szCs w:val="20"/>
        </w:rPr>
        <w:t xml:space="preserve"> Scope-explicit validation claims. Each row names the cohort, protocol, result, and interpretation, and identifies which critical-scale implementation of Sec. II.C produced it.</w:t>
      </w:r>
    </w:p>
    <w:tbl>
      <w:tblPr>
        <w:tblW w:type="dxa" w:w="9360"/>
        <w:tblBorders>
          <w:top w:val="double" w:sz="6"/>
          <w:left w:val="none" w:sz="0"/>
          <w:bottom w:val="double" w:sz="6"/>
          <w:right w:val="none" w:sz="0"/>
          <w:insideH w:val="none" w:sz="0"/>
          <w:insideV w:val="none" w:sz="0"/>
        </w:tblBorders>
      </w:tblPr>
      <w:tblGrid>
        <w:gridCol w:w="1900"/>
        <w:gridCol w:w="2350"/>
        <w:gridCol w:w="3000"/>
        <w:gridCol w:w="2110"/>
      </w:tblGrid>
      <w:tr>
        <w:trPr>
          <w:tblHeader/>
        </w:trPr>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Claim</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Scope and critical scale</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Result</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Interpretation</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Universal scaling does not organize the literature-scale data at this scope.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Reduced-temperature and reduced-field binning across the 23 fully fittable compounds of the pre-withdrawal cohort; 9 by 9 equal-width grid, 66 populated cells. Literature </w:t>
            </w:r>
            <w:r>
              <w:rPr>
                <w:rFonts w:ascii="Times New Roman" w:cs="Times New Roman" w:eastAsia="Times New Roman" w:hAnsi="Times New Roman"/>
                <w:i/>
                <w:iCs/>
                <w:sz w:val="19"/>
                <w:szCs w:val="19"/>
              </w:rPr>
              <w:t xml:space="preserve">H</w:t>
            </w:r>
            <w:r>
              <w:rPr>
                <w:rFonts w:ascii="Times New Roman" w:cs="Times New Roman" w:eastAsia="Times New Roman" w:hAnsi="Times New Roman"/>
                <w:i w:val="false"/>
                <w:iCs w:val="false"/>
                <w:sz w:val="19"/>
                <w:szCs w:val="19"/>
                <w:vertAlign w:val="subscript"/>
              </w:rPr>
              <w:t xml:space="preserve">c2,0</w:t>
            </w:r>
            <w:r>
              <w:rPr>
                <w:rFonts w:ascii="Times New Roman" w:cs="Times New Roman" w:eastAsia="Times New Roman" w:hAnsi="Times New Roman"/>
                <w:sz w:val="19"/>
                <w:szCs w:val="19"/>
              </w:rPr>
              <w:t xml:space="preserv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Within-bin standard deviation falls 13.0%, variance-scale equivalent 24.3%. On a point-level rebuild the reduced coordinates give no more reduction than the same grid rotated to a random angle, 39.3% against 41.6% over 400 rotations, and unnormalized temperature and field do better on the same records, 67.0% on 42 cells against 39.3% on 73, by isolating compounds. Zero of 400 critical-field perturbation draws exceed 30% on the standard-deviation scale.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Critical current density cannot be treated as a universal cross-compound function at this literature scope.</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Sample form is a required conditioning variable.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Variance decomposition of the per-paper critical-current anchor within each populated family; 96 per-paper anchors in total, of which the 70 carrying no withdrawal form the repaired cohort Fig. 3 draws, and 40 of those fall in the three families plotted. No exponent, no field scale.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On the repaired anchors sample form explains 81%, 37% and 4% of within-family anchor variance for iron chalcogenide 11-type, iron pnictide 122-type and MgB2-class respectively, against 37%, 49% and 12% on the anchors as deposited. The diagnostic sets the conditioning rule per family; it does not establish the distinction to significance, and Sec. III.A gives the clustered-null floors that prevent it from doing so.</w:t>
            </w:r>
            <w:r>
              <w:rPr>
                <w:rFonts w:ascii="Times New Roman" w:cs="Times New Roman" w:eastAsia="Times New Roman" w:hAnsi="Times New Roman"/>
                <w:i w:val="false"/>
                <w:iCs w:val="false"/>
                <w:sz w:val="19"/>
                <w:szCs w:val="19"/>
                <w:vertAlign w:val="subscript"/>
              </w:rPr>
            </w:r>
            <w:r>
              <w:rPr>
                <w:rFonts w:ascii="Times New Roman" w:cs="Times New Roman" w:eastAsia="Times New Roman" w:hAnsi="Times New Roman"/>
                <w:sz w:val="19"/>
                <w:szCs w:val="19"/>
              </w:rPr>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Published critical-current data contain measurement and sample-preparation context that must be modeled rather than averaged away.</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Conditioning reduces cross-family exponent error.</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Leave-one-substructure-out validation, matched five-family cohort. Per-paper resolved </w:t>
            </w:r>
            <w:r>
              <w:rPr>
                <w:rFonts w:ascii="Times New Roman" w:cs="Times New Roman" w:eastAsia="Times New Roman" w:hAnsi="Times New Roman"/>
                <w:i/>
                <w:iCs/>
                <w:sz w:val="19"/>
                <w:szCs w:val="19"/>
              </w:rPr>
              <w:t xml:space="preserve">H</w:t>
            </w:r>
            <w:r>
              <w:rPr>
                <w:rFonts w:ascii="Times New Roman" w:cs="Times New Roman" w:eastAsia="Times New Roman" w:hAnsi="Times New Roman"/>
                <w:i w:val="false"/>
                <w:iCs w:val="false"/>
                <w:sz w:val="19"/>
                <w:szCs w:val="19"/>
                <w:vertAlign w:val="subscript"/>
              </w:rPr>
              <w:t xml:space="preserve">c2</w:t>
            </w:r>
            <w:r>
              <w:rPr>
                <w:rFonts w:ascii="Times New Roman" w:cs="Times New Roman" w:eastAsia="Times New Roman" w:hAnsi="Times New Roman"/>
                <w:sz w:val="19"/>
                <w:szCs w:val="19"/>
              </w:rPr>
              <w:t xml:space="preserv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No fold improvement is reported. Under leave-one-substructure-out the mean absolute error in the field exponent is 12.3 without sample-form conditioning and 14.9 with it across the seven families carrying a descriptor, and 1.19 without and 0.55 with it on the fits passing physicality over the three families the conditional scope can score. Neither predictor is distinguishable from the out-of-sample median of the training fits, and removing any single family moves the comparison across unity. The interquartile bound reported with Stage 3 covers the residual in four of four families once the cuprate families are removed.</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Conditioning recovers signal that pooled regression treats as noise, subject to the field-scale qualification of Sec. III.F.</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Applicability is family dependent, and axis dependent.</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Compound leave-one-out within each substructure family, reported per exponent.</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Temperature axis, on the repaired 257-fit cohort: iron chalcogenide 11-type 0.546, 122-type 0.580 and 1111-type 0.513 all fall below the screening-grade threshold of 1 in the exponent, against 0.588, 1.314 and 3.120 as published; the threshold is absolute and the repairs compress the exponents, so Sec. III.C states what part of that movement is scale rather than skill. On the exponents rebuilt from the source figures, which are deposited with this paper and which none of these fits reproduces, the same three errors are 1.435, 1.184 and 2.415 and none falls below the threshold; the substructure separation survives that rebuild and this result does not. MgB2-class not assessable. Field axis: not validated at family level, and no verdict is reported. The published values were MgB2-class 0.753 and 122-type 0.973 clearing with 11-type 1.093 and 1111-type 2.571 not clearing; on the repaired 52-fit cohort they are 1.230, 1.957, 0.707 and 3.327, which reverses which families clear. The exponent also separates no family on either cohort, at 0.038 with p 0.98 after repair and 0.055 with p 0.93 before.</w:t>
            </w:r>
            <w:r>
              <w:rPr>
                <w:rFonts w:ascii="Times New Roman" w:cs="Times New Roman" w:eastAsia="Times New Roman" w:hAnsi="Times New Roman"/>
                <w:i w:val="false"/>
                <w:iCs w:val="false"/>
                <w:sz w:val="19"/>
                <w:szCs w:val="19"/>
                <w:vertAlign w:val="subscript"/>
              </w:rPr>
            </w:r>
            <w:r>
              <w:rPr>
                <w:rFonts w:ascii="Times New Roman" w:cs="Times New Roman" w:eastAsia="Times New Roman" w:hAnsi="Times New Roman"/>
                <w:sz w:val="19"/>
                <w:szCs w:val="19"/>
              </w:rPr>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Candidate prediction is valid per family and per axis, and the dispatch carries that label.</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Prediction requires sufficient anchors.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External validation on out-of-corpus cuprates.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One anchor gives 1.592 dex in log10 Jc and underperforms a transition-temperature-only baseline; on the matched three monotonic cuprates three anchors reduce the error from 1.267 to 0.694, a 45.2% reduction.</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The three-anchor requirement is an empirical refusal gate, not a tuning choice.</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The framework gives family-scope screening predictions.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Substructure-aggregate uncertainty at typical iron-pnictide 122 conditions.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One-sigma uncertainty is 0.27 dex in log10 Jc on the iron pnictide 122-type scope, propagated in quadrature over the three fitted terms on the repaired temperature exponent. That scope dispatches nothing; on the MgB2 class, which does, the same propagation gives 0.49 dex at 4.2 K and 0.57 dex at 20 K.</w:t>
            </w:r>
            <w:r>
              <w:rPr>
                <w:rFonts w:ascii="Times New Roman" w:cs="Times New Roman" w:eastAsia="Times New Roman" w:hAnsi="Times New Roman"/>
                <w:i w:val="false"/>
                <w:iCs w:val="false"/>
                <w:sz w:val="19"/>
                <w:szCs w:val="19"/>
                <w:vertAlign w:val="subscript"/>
              </w:rPr>
              <w:t xml:space="preserve"/>
            </w:r>
            <w:r>
              <w:rPr>
                <w:rFonts w:ascii="Times New Roman" w:cs="Times New Roman" w:eastAsia="Times New Roman" w:hAnsi="Times New Roman"/>
                <w:sz w:val="19"/>
                <w:szCs w:val="19"/>
              </w:rPr>
              <w:t xml:space="preserve"/>
            </w:r>
            <w:r>
              <w:rPr>
                <w:rFonts w:ascii="Times New Roman" w:cs="Times New Roman" w:eastAsia="Times New Roman" w:hAnsi="Times New Roman"/>
                <w:i/>
                <w:iCs/>
                <w:sz w:val="19"/>
                <w:szCs w:val="19"/>
              </w:rPr>
              <w:t xml:space="preserve"/>
            </w:r>
            <w:r>
              <w:rPr>
                <w:rFonts w:ascii="Times New Roman" w:cs="Times New Roman" w:eastAsia="Times New Roman" w:hAnsi="Times New Roman"/>
                <w:i w:val="false"/>
                <w:iCs w:val="false"/>
                <w:sz w:val="19"/>
                <w:szCs w:val="19"/>
                <w:vertAlign w:val="subscript"/>
              </w:rPr>
              <w:t xml:space="preserve"/>
            </w:r>
            <w:r>
              <w:rPr>
                <w:rFonts w:ascii="Times New Roman" w:cs="Times New Roman" w:eastAsia="Times New Roman" w:hAnsi="Times New Roman"/>
                <w:sz w:val="19"/>
                <w:szCs w:val="19"/>
              </w:rPr>
              <w:t xml:space="preserve"/>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The method supports family-level screening; per-compound ranking is not emitted, for the structural reason given in Sec. III.E.</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Refusal is part of the model output.</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Candidate dispatch across 183 distinct compounds in three substructure families, of which one emits at the current gate settings. Two of the three clear the compound leave-one-out threshold on the temperature axis; the family that emits is not assessable on that axis and no family-level field verdict is reported for any family.</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84 compounds receive at least one non-refused prediction target; of the candidate-grid-point predictions, 50.3% for lying below the validated reduced field, 25.8% for a missing upper-critical-field anchor, 9.9% for a target temperature above Tc, 4.4% for lying at or above the validated reduced temperature, 1.9% for the family failing field-axis validation.</w:t>
            </w:r>
            <w:r>
              <w:rPr>
                <w:rFonts w:ascii="Times New Roman" w:cs="Times New Roman" w:eastAsia="Times New Roman" w:hAnsi="Times New Roman"/>
                <w:i/>
                <w:iCs/>
                <w:sz w:val="19"/>
                <w:szCs w:val="19"/>
              </w:rPr>
            </w:r>
            <w:r>
              <w:rPr>
                <w:rFonts w:ascii="Times New Roman" w:cs="Times New Roman" w:eastAsia="Times New Roman" w:hAnsi="Times New Roman"/>
                <w:i w:val="false"/>
                <w:iCs w:val="false"/>
                <w:sz w:val="19"/>
                <w:szCs w:val="19"/>
                <w:vertAlign w:val="subscript"/>
              </w:rPr>
            </w:r>
            <w:r>
              <w:rPr>
                <w:rFonts w:ascii="Times New Roman" w:cs="Times New Roman" w:eastAsia="Times New Roman" w:hAnsi="Times New Roman"/>
                <w:sz w:val="19"/>
                <w:szCs w:val="19"/>
              </w:rPr>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The predictor reports its scope explicitly and avoids unsupported numerical predictions.</w:t>
            </w:r>
          </w:p>
        </w:tc>
      </w:tr>
    </w:tbl>
    <w:p>
      <w:pPr>
        <w:spacing w:after="240"/>
      </w:pPr>
      <w:r>
        <w:rPr>
          <w:sz w:val="8"/>
          <w:szCs w:val="8"/>
        </w:rPr>
        <w:t xml:space="preserve"/>
      </w:r>
    </w:p>
    <w:p>
      <w:pPr>
        <w:pStyle w:val="Heading2"/>
        <w:spacing w:after="200" w:before="360"/>
        <w:jc w:val="center"/>
      </w:pPr>
      <w:r>
        <w:rPr>
          <w:rFonts w:ascii="Times New Roman" w:cs="Times New Roman" w:eastAsia="Times New Roman" w:hAnsi="Times New Roman"/>
          <w:b/>
          <w:bCs/>
          <w:color w:val="000000"/>
          <w:sz w:val="24"/>
          <w:szCs w:val="24"/>
        </w:rPr>
        <w:t xml:space="preserve">E. Candidate prediction dispatch</w:t>
      </w:r>
    </w:p>
    <w:p>
      <w:pPr>
        <w:spacing w:after="0" w:line="480"/>
        <w:ind w:firstLine="431"/>
        <w:jc w:val="both"/>
      </w:pPr>
      <w:r>
        <w:rPr>
          <w:rFonts w:ascii="Times New Roman" w:cs="Times New Roman" w:eastAsia="Times New Roman" w:hAnsi="Times New Roman"/>
          <w:sz w:val="24"/>
          <w:szCs w:val="24"/>
        </w:rPr>
        <w:t xml:space="preserve">Uncertainty in the substructure aggregate is propagated in quadrature over the three fitted terms rather than taken from the spread of any one of them. Writing θ =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c,partial</w:t>
      </w:r>
      <w:r>
        <w:rPr>
          <w:rFonts w:ascii="Times New Roman" w:cs="Times New Roman" w:eastAsia="Times New Roman" w:hAnsi="Times New Roman"/>
          <w:sz w:val="24"/>
          <w:szCs w:val="24"/>
        </w:rPr>
        <w:t xml:space="preserve">, β</w:t>
      </w:r>
      <w:r>
        <w:rPr>
          <w:rFonts w:ascii="Times New Roman" w:cs="Times New Roman" w:eastAsia="Times New Roman" w:hAnsi="Times New Roman"/>
          <w:i w:val="false"/>
          <w:iCs w:val="false"/>
          <w:sz w:val="24"/>
          <w:szCs w:val="24"/>
          <w:vertAlign w:val="subscript"/>
        </w:rPr>
        <w:t xml:space="preserve">T</w:t>
      </w:r>
      <w:r>
        <w:rPr>
          <w:rFonts w:ascii="Times New Roman" w:cs="Times New Roman" w:eastAsia="Times New Roman" w:hAnsi="Times New Roman"/>
          <w:sz w:val="24"/>
          <w:szCs w:val="24"/>
        </w:rPr>
        <w:t xml:space="preserve">, β</w:t>
      </w:r>
      <w:r>
        <w:rPr>
          <w:rFonts w:ascii="Times New Roman" w:cs="Times New Roman" w:eastAsia="Times New Roman" w:hAnsi="Times New Roman"/>
          <w:i w:val="false"/>
          <w:iCs w:val="false"/>
          <w:sz w:val="24"/>
          <w:szCs w:val="24"/>
          <w:vertAlign w:val="subscript"/>
        </w:rPr>
        <w:t xml:space="preserve">H</w:t>
      </w:r>
      <w:r>
        <w:rPr>
          <w:rFonts w:ascii="Times New Roman" w:cs="Times New Roman" w:eastAsia="Times New Roman" w:hAnsi="Times New Roman"/>
          <w:sz w:val="24"/>
          <w:szCs w:val="24"/>
        </w:rPr>
        <w:t xml:space="preserve">) and σ</w:t>
      </w:r>
      <w:r>
        <w:rPr>
          <w:rFonts w:ascii="Times New Roman" w:cs="Times New Roman" w:eastAsia="Times New Roman" w:hAnsi="Times New Roman"/>
          <w:i w:val="false"/>
          <w:iCs w:val="false"/>
          <w:sz w:val="24"/>
          <w:szCs w:val="24"/>
          <w:vertAlign w:val="subscript"/>
        </w:rPr>
        <w:t xml:space="preserve">a</w:t>
      </w:r>
      <w:r>
        <w:rPr>
          <w:rFonts w:ascii="Times New Roman" w:cs="Times New Roman" w:eastAsia="Times New Roman" w:hAnsi="Times New Roman"/>
          <w:sz w:val="24"/>
          <w:szCs w:val="24"/>
        </w:rPr>
        <w:t xml:space="preserve"> for the residual standard deviation of each term within the substructure scope, the propagated variance is</w:t>
      </w:r>
    </w:p>
    <w:p>
      <w:pPr>
        <w:tabs>
          <w:tab w:val="center" w:pos="4680"/>
          <w:tab w:val="right" w:pos="9360"/>
        </w:tabs>
        <w:spacing w:after="240" w:before="240" w:line="240"/>
        <w:jc w:val="left"/>
      </w:pPr>
      <w:r>
        <w:rPr>
          <w:rFonts w:ascii="Times New Roman" w:cs="Times New Roman" w:eastAsia="Times New Roman" w:hAnsi="Times New Roman"/>
          <w:sz w:val="24"/>
          <w:szCs w:val="24"/>
        </w:rPr>
        <w:t xml:space="preserve">	</w:t>
      </w:r>
      <m:oMath>
        <m:sSup>
          <m:e>
            <m:r>
              <m:t>σ</m:t>
            </m:r>
          </m:e>
          <m:sup>
            <m:r>
              <m:t>2</m:t>
            </m:r>
          </m:sup>
        </m:sSup>
        <m:r>
          <m:rPr>
            <m:sty m:val="p"/>
          </m:rPr>
          <m:t>=</m:t>
        </m:r>
        <m:nary>
          <m:naryPr>
            <m:chr m:val="∑"/>
            <m:limLoc m:val="undOvr"/>
            <m:subHide m:val="off"/>
            <m:supHide m:val="on"/>
          </m:naryPr>
          <m:sub>
            <m:r>
              <m:t>a</m:t>
            </m:r>
          </m:sub>
          <m:sup>
            <m:r>
              <m:t>​</m:t>
            </m:r>
          </m:sup>
          <m:e>
            <m:sSup>
              <m:e>
                <m:d>
                  <m:dPr>
                    <m:begChr m:val="("/>
                    <m:sepChr m:val=""/>
                    <m:endChr m:val=")"/>
                    <m:grow/>
                  </m:dPr>
                  <m:e>
                    <m:f>
                      <m:fPr>
                        <m:type m:val="bar"/>
                      </m:fPr>
                      <m:num>
                        <m:r>
                          <m:rPr>
                            <m:sty m:val="p"/>
                          </m:rPr>
                          <m:t>∂</m:t>
                        </m:r>
                        <m:sSub>
                          <m:e>
                            <m:r>
                              <m:rPr>
                                <m:sty m:val="p"/>
                              </m:rPr>
                              <m:t>log</m:t>
                            </m:r>
                          </m:e>
                          <m:sub>
                            <m:r>
                              <m:t>10</m:t>
                            </m:r>
                          </m:sub>
                        </m:sSub>
                        <m:sSub>
                          <m:e>
                            <m:r>
                              <m:t>J</m:t>
                            </m:r>
                          </m:e>
                          <m:sub>
                            <m:r>
                              <m:t>c</m:t>
                            </m:r>
                          </m:sub>
                        </m:sSub>
                      </m:num>
                      <m:den>
                        <m:r>
                          <m:rPr>
                            <m:sty m:val="p"/>
                          </m:rPr>
                          <m:t>∂</m:t>
                        </m:r>
                        <m:sSub>
                          <m:e>
                            <m:r>
                              <m:t>θ</m:t>
                            </m:r>
                          </m:e>
                          <m:sub>
                            <m:r>
                              <m:t>a</m:t>
                            </m:r>
                          </m:sub>
                        </m:sSub>
                      </m:den>
                    </m:f>
                  </m:e>
                </m:d>
              </m:e>
              <m:sup>
                <m:r>
                  <m:t>​</m:t>
                </m:r>
                <m:r>
                  <m:t>2</m:t>
                </m:r>
              </m:sup>
            </m:sSup>
          </m:e>
        </m:nary>
        <m:sSubSup>
          <m:e>
            <m:r>
              <m:t>σ</m:t>
            </m:r>
          </m:e>
          <m:sub>
            <m:r>
              <m:t>a</m:t>
            </m:r>
          </m:sub>
          <m:sup>
            <m:r>
              <m:t>2</m:t>
            </m:r>
          </m:sup>
        </m:sSubSup>
        <m:r>
          <m:rPr>
            <m:sty m:val="p"/>
          </m:rPr>
          <m:t>,</m:t>
        </m:r>
        <m:r>
          <m:t>  </m:t>
        </m:r>
        <m:r>
          <m:t>θ</m:t>
        </m:r>
        <m:r>
          <m:rPr>
            <m:sty m:val="p"/>
          </m:rPr>
          <m:t>=</m:t>
        </m:r>
        <m:d>
          <m:dPr>
            <m:begChr m:val="("/>
            <m:sepChr m:val=""/>
            <m:endChr m:val=")"/>
            <m:grow/>
          </m:dPr>
          <m:e>
            <m:sSub>
              <m:e>
                <m:r>
                  <m:rPr>
                    <m:sty m:val="p"/>
                  </m:rPr>
                  <m:t>log</m:t>
                </m:r>
              </m:e>
              <m:sub>
                <m:r>
                  <m:t>10</m:t>
                </m:r>
              </m:sub>
            </m:sSub>
            <m:sSub>
              <m:e>
                <m:r>
                  <m:t>J</m:t>
                </m:r>
              </m:e>
              <m:sub>
                <m:r>
                  <m:t>c</m:t>
                </m:r>
                <m:r>
                  <m:rPr>
                    <m:sty m:val="p"/>
                  </m:rPr>
                  <m:t>,</m:t>
                </m:r>
                <m:r>
                  <m:rPr>
                    <m:sty m:val="p"/>
                  </m:rPr>
                  <m:t>p</m:t>
                </m:r>
                <m:r>
                  <m:rPr>
                    <m:sty m:val="p"/>
                  </m:rPr>
                  <m:t>a</m:t>
                </m:r>
                <m:r>
                  <m:rPr>
                    <m:sty m:val="p"/>
                  </m:rPr>
                  <m:t>r</m:t>
                </m:r>
                <m:r>
                  <m:rPr>
                    <m:sty m:val="p"/>
                  </m:rPr>
                  <m:t>t</m:t>
                </m:r>
                <m:r>
                  <m:rPr>
                    <m:sty m:val="p"/>
                  </m:rPr>
                  <m:t>i</m:t>
                </m:r>
                <m:r>
                  <m:rPr>
                    <m:sty m:val="p"/>
                  </m:rPr>
                  <m:t>a</m:t>
                </m:r>
                <m:r>
                  <m:rPr>
                    <m:sty m:val="p"/>
                  </m:rPr>
                  <m:t>l</m:t>
                </m:r>
              </m:sub>
            </m:sSub>
            <m:r>
              <m:rPr>
                <m:sty m:val="p"/>
              </m:rPr>
              <m:t>,</m:t>
            </m:r>
            <m:r>
              <m:t> </m:t>
            </m:r>
            <m:sSub>
              <m:e>
                <m:r>
                  <m:t>β</m:t>
                </m:r>
              </m:e>
              <m:sub>
                <m:r>
                  <m:t>T</m:t>
                </m:r>
              </m:sub>
            </m:sSub>
            <m:r>
              <m:rPr>
                <m:sty m:val="p"/>
              </m:rPr>
              <m:t>,</m:t>
            </m:r>
            <m:r>
              <m:t> </m:t>
            </m:r>
            <m:sSub>
              <m:e>
                <m:r>
                  <m:t>β</m:t>
                </m:r>
              </m:e>
              <m:sub>
                <m:r>
                  <m:t>H</m:t>
                </m:r>
              </m:sub>
            </m:sSub>
          </m:e>
        </m:d>
      </m:oMath>
      <w:r>
        <w:rPr>
          <w:rFonts w:ascii="Times New Roman" w:cs="Times New Roman" w:eastAsia="Times New Roman" w:hAnsi="Times New Roman"/>
          <w:sz w:val="24"/>
          <w:szCs w:val="24"/>
        </w:rPr>
        <w:t xml:space="preserve">	(11)</w:t>
      </w:r>
    </w:p>
    <w:p>
      <w:pPr>
        <w:spacing w:after="0" w:line="480"/>
        <w:ind w:firstLine="431"/>
        <w:jc w:val="both"/>
      </w:pPr>
      <w:r>
        <w:rPr>
          <w:rFonts w:ascii="Times New Roman" w:cs="Times New Roman" w:eastAsia="Times New Roman" w:hAnsi="Times New Roman"/>
          <w:sz w:val="24"/>
          <w:szCs w:val="24"/>
        </w:rPr>
        <w:t xml:space="preserve">This treats the three terms as independent, and we state plainly why we do not carry a covariance term. Estimating a correlation between β</w:t>
      </w:r>
      <w:r>
        <w:rPr>
          <w:rFonts w:ascii="Times New Roman" w:cs="Times New Roman" w:eastAsia="Times New Roman" w:hAnsi="Times New Roman"/>
          <w:i w:val="false"/>
          <w:iCs w:val="false"/>
          <w:sz w:val="24"/>
          <w:szCs w:val="24"/>
          <w:vertAlign w:val="subscript"/>
        </w:rPr>
        <w:t xml:space="preserve">T</w:t>
      </w:r>
      <w:r>
        <w:rPr>
          <w:rFonts w:ascii="Times New Roman" w:cs="Times New Roman" w:eastAsia="Times New Roman" w:hAnsi="Times New Roman"/>
          <w:sz w:val="24"/>
          <w:szCs w:val="24"/>
        </w:rPr>
        <w:t xml:space="preserve"> and β</w:t>
      </w:r>
      <w:r>
        <w:rPr>
          <w:rFonts w:ascii="Times New Roman" w:cs="Times New Roman" w:eastAsia="Times New Roman" w:hAnsi="Times New Roman"/>
          <w:i w:val="false"/>
          <w:iCs w:val="false"/>
          <w:sz w:val="24"/>
          <w:szCs w:val="24"/>
          <w:vertAlign w:val="subscript"/>
        </w:rPr>
        <w:t xml:space="preserve">H</w:t>
      </w:r>
      <w:r>
        <w:rPr>
          <w:rFonts w:ascii="Times New Roman" w:cs="Times New Roman" w:eastAsia="Times New Roman" w:hAnsi="Times New Roman"/>
          <w:sz w:val="24"/>
          <w:szCs w:val="24"/>
        </w:rPr>
        <w:t xml:space="preserve"> requires records that contribute both exponents, and within the dispatch families there are none: in the iron pnictide 122-type family the 36 field-axis fits and the 106 temperature-axis fits share no source paper and compound in common. The two exponents are therefore measured on disjoint sets of curves, and a within-family correlation between them is not estimable from this corpus rather than being estimated and found small. This is the same supply limitation that Section III.F reports for the critical-field layer, appearing one level up in the uncertainty model, and it is a property of what the literature reports rather than of the aggregation. The direction in which a correlation would move the result is not the same for all three pairs, and an earlier version of this paragraph asserted that it was. Writing log10 Jc as the anchor plus βT log10(1 - T/Tc) plus βH log10(1 - H/Hc2,0), the derivative with respect to the anchor is positive while both logarithms are negative, so a positive correlation between the anchor and either exponent lowers the propagated variance and only a positive correlation between the two exponents raises it. The two anchor terms dominate, and a uniform positive correlation therefore lowers the quoted figure rather than raising it. We claim no bound in either direction [39].</w:t>
      </w:r>
      <w:r>
        <w:rPr>
          <w:rFonts w:ascii="Times New Roman" w:cs="Times New Roman" w:eastAsia="Times New Roman" w:hAnsi="Times New Roman"/>
          <w:sz w:val="24"/>
          <w:szCs w:val="24"/>
        </w:rPr>
        <w:t xml:space="preserve"/>
      </w:r>
      <w:r>
        <w:rPr>
          <w:rFonts w:ascii="Times New Roman" w:cs="Times New Roman" w:eastAsia="Times New Roman" w:hAnsi="Times New Roman"/>
          <w:sz w:val="24"/>
          <w:szCs w:val="24"/>
        </w:rPr>
        <w:t xml:space="preserve"/>
      </w:r>
    </w:p>
    <w:p>
      <w:pPr>
        <w:spacing w:after="0" w:line="480"/>
        <w:ind w:firstLine="431"/>
        <w:jc w:val="both"/>
      </w:pPr>
      <w:r>
        <w:rPr>
          <w:rFonts w:ascii="Times New Roman" w:cs="Times New Roman" w:eastAsia="Times New Roman" w:hAnsi="Times New Roman"/>
          <w:sz w:val="24"/>
          <w:szCs w:val="24"/>
        </w:rPr>
        <w:t xml:space="preserve">The validated framework is applied to candidate compounds drawn from the 3DSC_MP cross-reference between SuperCon transition-temperature records and Materials Project crystal structures. Dispatch is restricted to the three families that meet the population requirement and carry a validated temperature axis: iron chalcogenide 11-type, iron pnictide 122-type, and </w:t>
      </w:r>
      <w:r>
        <w:rPr>
          <w:rFonts w:ascii="Times New Roman" w:cs="Times New Roman" w:eastAsia="Times New Roman" w:hAnsi="Times New Roman"/>
          <w:sz w:val="24"/>
          <w:szCs w:val="24"/>
        </w:rPr>
        <w:t>MgB</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-class. Because the field axis is not validated at family level, no dispatched field-axis output is offered as a validated prediction; each is carried as the labelled limitation stated later in this section.</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xml:space="preserve"> The candidate set contains 233 candidate records covering 183 distinct compounds</w:t>
      </w:r>
      <w:r>
        <w:rPr>
          <w:rFonts w:ascii="Times New Roman" w:cs="Times New Roman" w:eastAsia="Times New Roman" w:hAnsi="Times New Roman"/>
          <w:b/>
          <w:bCs/>
          <w:sz w:val="24"/>
          <w:szCs w:val="24"/>
        </w:rPr>
      </w:r>
      <w:r>
        <w:rPr>
          <w:rFonts w:ascii="Times New Roman" w:cs="Times New Roman" w:eastAsia="Times New Roman" w:hAnsi="Times New Roman"/>
          <w:sz w:val="24"/>
          <w:szCs w:val="24"/>
        </w:rPr>
        <w:t xml:space="preserve">, since the same compound can be reached through more than one source paper; the earlier presentation reported record counts as compound counts, and Table IV now reports both. Of the 183, 84 receive at least one non-refused prediction target from the dispatch routine, and all 84 are </w:t>
      </w:r>
      <w:r>
        <w:rPr>
          <w:rFonts w:ascii="Times New Roman" w:cs="Times New Roman" w:eastAsia="Times New Roman" w:hAnsi="Times New Roman"/>
          <w:sz w:val="24"/>
          <w:szCs w:val="24"/>
        </w:rPr>
        <w:t>MgB</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-class. The other two families dispatch nothing. Every one of iron chalcogenide 11-type's 441 candidate-grid targets is refused, 248 for lying below the validated reduced field, 153 for a target temperature above Tc, and 40 because the family carries no validated field axis, which after this revision is true of every family; all 711 of iron pnictide 122-type's are refused, 378 for a missing upper-critical-field anchor, 294 for reduced field, and 39 for temperature. The calibration screen described below removes none of the 84, because the two candidates it acts on are iron chalcogenide and are no longer dispatched.</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xml:space="preserve"> Table IV gives the dispatch counts, which are the counts that reconcile with the deposited prediction file. A supplementary pass attempted to widen critical-field coverage by matching the candidate set against the Roberts compilation of evaluated superconductor properties </w:t>
      </w:r>
      <w:r>
        <w:rPr>
          <w:rFonts w:ascii="Times New Roman" w:cs="Times New Roman" w:eastAsia="Times New Roman" w:hAnsi="Times New Roman"/>
          <w:sz w:val="24"/>
          <w:szCs w:val="24"/>
        </w:rPr>
        <w:t xml:space="preserve">[40]</w:t>
      </w:r>
      <w:r>
        <w:rPr>
          <w:rFonts w:ascii="Times New Roman" w:cs="Times New Roman" w:eastAsia="Times New Roman" w:hAnsi="Times New Roman"/>
          <w:sz w:val="24"/>
          <w:szCs w:val="24"/>
        </w:rPr>
        <w:t>; it returned no match for any of the 233 candidate records, which is itself a statement about how sparsely this quantity is tabulated for substituted and cation-variant compounds.</w:t>
      </w:r>
    </w:p>
    <w:p>
      <w:pPr>
        <w:spacing w:after="140" w:before="360" w:line="240"/>
        <w:jc w:val="both"/>
      </w:pPr>
      <w:r>
        <w:rPr>
          <w:rFonts w:ascii="Times New Roman" w:cs="Times New Roman" w:eastAsia="Times New Roman" w:hAnsi="Times New Roman"/>
          <w:b/>
          <w:bCs/>
          <w:sz w:val="20"/>
          <w:szCs w:val="20"/>
        </w:rPr>
        <w:t xml:space="preserve">TABLE IV.</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H</w:t>
      </w:r>
      <w:r>
        <w:rPr>
          <w:rFonts w:ascii="Times New Roman" w:cs="Times New Roman" w:eastAsia="Times New Roman" w:hAnsi="Times New Roman"/>
          <w:i w:val="false"/>
          <w:iCs w:val="false"/>
          <w:sz w:val="20"/>
          <w:szCs w:val="20"/>
          <w:vertAlign w:val="subscript"/>
        </w:rPr>
        <w:t xml:space="preserve">c2</w:t>
      </w:r>
      <w:r>
        <w:rPr>
          <w:rFonts w:ascii="Times New Roman" w:cs="Times New Roman" w:eastAsia="Times New Roman" w:hAnsi="Times New Roman"/>
          <w:sz w:val="20"/>
          <w:szCs w:val="20"/>
        </w:rPr>
        <w:t xml:space="preserve"> coverage and dispatch scope for the candidate cohort. The second column gives, in order, candidate records, distinct compounds, and compounds receiving at least one dispatched prediction target; records exceed compounds because the same compound can be reached through more than one source paper. The third figure in that column is the dispatch-routine count and reconciles with the deposited prediction file, which emits at least one prediction for 84 compounds. The 122-type cation variants are the main limit on full field-axis prediction.</w:t>
      </w:r>
    </w:p>
    <w:tbl>
      <w:tblPr>
        <w:tblW w:type="dxa" w:w="9360"/>
        <w:tblBorders>
          <w:top w:val="double" w:sz="6"/>
          <w:left w:val="none" w:sz="0"/>
          <w:bottom w:val="double" w:sz="6"/>
          <w:right w:val="none" w:sz="0"/>
          <w:insideH w:val="none" w:sz="0"/>
          <w:insideV w:val="none" w:sz="0"/>
        </w:tblBorders>
      </w:tblPr>
      <w:tblGrid>
        <w:gridCol w:w="1750"/>
        <w:gridCol w:w="1750"/>
        <w:gridCol w:w="1500"/>
        <w:gridCol w:w="2360"/>
        <w:gridCol w:w="2000"/>
      </w:tblGrid>
      <w:tr>
        <w:trPr>
          <w:tblHeader/>
        </w:trPr>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Substructure</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Records / compounds / dispatched</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Validating axis</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Main anchor provenance</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Coverage gap</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Iron chalcogenide 11-type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49 / 29 / 0</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Temperature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Seven paper-reported anchors and 24 reference-table anchors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None at current scope</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Iron pnictide 122-type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79 / 51 / 0</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Temperature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Six paper-reported anchors and three BaFe</w:t>
            </w:r>
            <w:r>
              <w:rPr>
                <w:rFonts w:ascii="Times New Roman" w:cs="Times New Roman" w:eastAsia="Times New Roman" w:hAnsi="Times New Roman"/>
                <w:i w:val="false"/>
                <w:iCs w:val="false"/>
                <w:sz w:val="19"/>
                <w:szCs w:val="19"/>
                <w:vertAlign w:val="subscript"/>
              </w:rPr>
              <w:t xml:space="preserve">2</w:t>
            </w:r>
            <w:r>
              <w:rPr>
                <w:rFonts w:ascii="Times New Roman" w:cs="Times New Roman" w:eastAsia="Times New Roman" w:hAnsi="Times New Roman"/>
                <w:sz w:val="19"/>
                <w:szCs w:val="19"/>
              </w:rPr>
              <w:t xml:space="preserve">As</w:t>
            </w:r>
            <w:r>
              <w:rPr>
                <w:rFonts w:ascii="Times New Roman" w:cs="Times New Roman" w:eastAsia="Times New Roman" w:hAnsi="Times New Roman"/>
                <w:i w:val="false"/>
                <w:iCs w:val="false"/>
                <w:sz w:val="19"/>
                <w:szCs w:val="19"/>
                <w:vertAlign w:val="subscript"/>
              </w:rPr>
              <w:t xml:space="preserve">2</w:t>
            </w:r>
            <w:r>
              <w:rPr>
                <w:rFonts w:ascii="Times New Roman" w:cs="Times New Roman" w:eastAsia="Times New Roman" w:hAnsi="Times New Roman"/>
                <w:sz w:val="19"/>
                <w:szCs w:val="19"/>
              </w:rPr>
              <w:t xml:space="preserve"> parent anchors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Cation variants without field-anchor infrastructure</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MgB</w:t>
            </w:r>
            <w:r>
              <w:rPr>
                <w:rFonts w:ascii="Times New Roman" w:cs="Times New Roman" w:eastAsia="Times New Roman" w:hAnsi="Times New Roman"/>
                <w:i w:val="false"/>
                <w:iCs w:val="false"/>
                <w:sz w:val="19"/>
                <w:szCs w:val="19"/>
                <w:vertAlign w:val="subscript"/>
              </w:rPr>
              <w:t xml:space="preserve">2</w:t>
            </w:r>
            <w:r>
              <w:rPr>
                <w:rFonts w:ascii="Times New Roman" w:cs="Times New Roman" w:eastAsia="Times New Roman" w:hAnsi="Times New Roman"/>
                <w:sz w:val="19"/>
                <w:szCs w:val="19"/>
              </w:rPr>
              <w:t xml:space="preserve">-class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105 / 103 / 84</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None reported</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One paper-reported anchor and 84 MgB</w:t>
            </w:r>
            <w:r>
              <w:rPr>
                <w:rFonts w:ascii="Times New Roman" w:cs="Times New Roman" w:eastAsia="Times New Roman" w:hAnsi="Times New Roman"/>
                <w:i w:val="false"/>
                <w:iCs w:val="false"/>
                <w:sz w:val="19"/>
                <w:szCs w:val="19"/>
                <w:vertAlign w:val="subscript"/>
              </w:rPr>
              <w:t xml:space="preserve">2</w:t>
            </w:r>
            <w:r>
              <w:rPr>
                <w:rFonts w:ascii="Times New Roman" w:cs="Times New Roman" w:eastAsia="Times New Roman" w:hAnsi="Times New Roman"/>
                <w:sz w:val="19"/>
                <w:szCs w:val="19"/>
              </w:rPr>
              <w:t xml:space="preserve"> parent anchors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Exotic diborides without field-anchor infrastructure</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Combined</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233 / 183 / 84</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Temperature for two families, none for MgB2-class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All provenance tiers combined</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60 compounds receive field-axis refusal</w:t>
            </w:r>
          </w:p>
        </w:tc>
      </w:tr>
    </w:tbl>
    <w:p>
      <w:pPr>
        <w:spacing w:after="240"/>
      </w:pPr>
      <w:r>
        <w:rPr>
          <w:sz w:val="8"/>
          <w:szCs w:val="8"/>
        </w:rPr>
        <w:t xml:space="preserve"/>
      </w:r>
    </w:p>
    <w:p>
      <w:pPr>
        <w:spacing w:after="0" w:line="480"/>
        <w:ind w:firstLine="431"/>
        <w:jc w:val="both"/>
      </w:pPr>
      <w:r>
        <w:rPr>
          <w:rFonts w:ascii="Times New Roman" w:cs="Times New Roman" w:eastAsia="Times New Roman" w:hAnsi="Times New Roman"/>
          <w:sz w:val="24"/>
          <w:szCs w:val="24"/>
        </w:rPr>
        <w:t xml:space="preserve">The 60 compounds without upper-critical-field anchors trigger field-axis refusals, because the model cannot evaluate field dependence without a validated field scale. These refusals do not remove the compounds from the workflow: when the remaining gates pass, the same candidates still receive temperature-axis-only outputs. The refusal mechanism acts on each prediction target, not only on each compound, so a compound may be valid for one prediction task and refused for another. As a further consistency check we screen candidate predictions against the substructure calibration range, which removes six predictions across two iron-chalcogenide candidates: FeTe and the FeTe-rich variant Fe(Se</w:t>
      </w:r>
      <w:r>
        <w:rPr>
          <w:rFonts w:ascii="Times New Roman" w:cs="Times New Roman" w:eastAsia="Times New Roman" w:hAnsi="Times New Roman"/>
          <w:i w:val="false"/>
          <w:iCs w:val="false"/>
          <w:sz w:val="24"/>
          <w:szCs w:val="24"/>
          <w:vertAlign w:val="subscript"/>
        </w:rPr>
        <w:t xml:space="preserve">0.05</w:t>
      </w:r>
      <w:r>
        <w:rPr>
          <w:rFonts w:ascii="Times New Roman" w:cs="Times New Roman" w:eastAsia="Times New Roman" w:hAnsi="Times New Roman"/>
          <w:sz w:val="24"/>
          <w:szCs w:val="24"/>
        </w:rPr>
        <w:t xml:space="preserve">Te</w:t>
      </w:r>
      <w:r>
        <w:rPr>
          <w:rFonts w:ascii="Times New Roman" w:cs="Times New Roman" w:eastAsia="Times New Roman" w:hAnsi="Times New Roman"/>
          <w:i w:val="false"/>
          <w:iCs w:val="false"/>
          <w:sz w:val="24"/>
          <w:szCs w:val="24"/>
          <w:vertAlign w:val="subscript"/>
        </w:rPr>
        <w:t xml:space="preserve">0.95</w:t>
      </w:r>
      <w:r>
        <w:rPr>
          <w:rFonts w:ascii="Times New Roman" w:cs="Times New Roman" w:eastAsia="Times New Roman" w:hAnsi="Times New Roman"/>
          <w:sz w:val="24"/>
          <w:szCs w:val="24"/>
        </w:rPr>
        <w:t xml:space="preserve">), whose transition-temperature anchors of 1.5 and 3.4 K fall far below the 10 to 14 K anchors of the family's calibration cohort. At their compound-specific 0.77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grid points, 1.16 and 2.58 K, the substructure-aggregate exponent extrapolates to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of about 9.5, which is 3.5 dex above the family mean at that grid point and more than five standard deviations from it, a current density of order 10</w:t>
      </w:r>
      <w:r>
        <w:rPr>
          <w:rFonts w:ascii="Times New Roman" w:cs="Times New Roman" w:eastAsia="Times New Roman" w:hAnsi="Times New Roman"/>
          <w:i w:val="false"/>
          <w:iCs w:val="false"/>
          <w:sz w:val="24"/>
          <w:szCs w:val="24"/>
          <w:vertAlign w:val="superscript"/>
        </w:rPr>
        <w:t xml:space="preserve">9</w:t>
      </w:r>
      <w:r>
        <w:rPr>
          <w:rFonts w:ascii="Times New Roman" w:cs="Times New Roman" w:eastAsia="Times New Roman" w:hAnsi="Times New Roman"/>
          <w:sz w:val="24"/>
          <w:szCs w:val="24"/>
        </w:rPr>
        <w:t xml:space="preserve"> A cm</w:t>
      </w:r>
      <w:r>
        <w:rPr>
          <w:rFonts w:ascii="Times New Roman" w:cs="Times New Roman" w:eastAsia="Times New Roman" w:hAnsi="Times New Roman"/>
          <w:i w:val="false"/>
          <w:iCs w:val="false"/>
          <w:sz w:val="24"/>
          <w:szCs w:val="24"/>
          <w:vertAlign w:val="superscript"/>
        </w:rPr>
        <w:t xml:space="preserve">−2</w:t>
      </w:r>
      <w:r>
        <w:rPr>
          <w:rFonts w:ascii="Times New Roman" w:cs="Times New Roman" w:eastAsia="Times New Roman" w:hAnsi="Times New Roman"/>
          <w:sz w:val="24"/>
          <w:szCs w:val="24"/>
        </w:rPr>
        <w:t xml:space="preserve"> that no measurement supports. These six predictions are excluded from every total reported in this paper. They fall on two iron chalcogenide candidates, and that family no longer dispatches at all, so the exclusion removes none of the 84 compounds that carry a prediction we are willing to report. A second, coarser screen acts one level up, at the record rather than the prediction: 21 of the 233 candidate records carry a transition-temperature anchor below 4.2 K, the lowest absolute temperature on the evaluation grid, and are refused because no grid point can be evaluated for them; Supplemental Material Sec. 10 gives that accounting. We note one bookkeeping consequence for readers of the deposit: both screens are applied at the reporting layer, so the deposited prediction file carries these rows with an empty refusal code, and the deposited within-substructure outlier audit identifies the six explicitly.</w:t>
      </w:r>
    </w:p>
    <w:p>
      <w:pPr>
        <w:spacing w:after="0" w:line="480"/>
        <w:ind w:firstLine="431"/>
        <w:jc w:val="both"/>
      </w:pPr>
      <w:r>
        <w:rPr>
          <w:rFonts w:ascii="Times New Roman" w:cs="Times New Roman" w:eastAsia="Times New Roman" w:hAnsi="Times New Roman"/>
          <w:sz w:val="24"/>
          <w:szCs w:val="24"/>
        </w:rPr>
        <w:t xml:space="preserve">The prediction rule for each substructure follows from the variance-decomposition diagnostic, and only the </w:t>
      </w:r>
      <w:r>
        <w:rPr>
          <w:rFonts w:ascii="Times New Roman" w:cs="Times New Roman" w:eastAsia="Times New Roman" w:hAnsi="Times New Roman"/>
          <w:sz w:val="24"/>
          <w:szCs w:val="24"/>
        </w:rPr>
        <w:t>MgB</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 xml:space="preserve"> rule is exercised by the current dispatch. For </w:t>
      </w:r>
      <w:r>
        <w:rPr>
          <w:rFonts w:ascii="Times New Roman" w:cs="Times New Roman" w:eastAsia="Times New Roman" w:hAnsi="Times New Roman"/>
          <w:sz w:val="24"/>
          <w:szCs w:val="24"/>
        </w:rPr>
        <w:t>MgB</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 xml:space="preserve">-class, sample form explains little variance, so the model uses the substructure-aggregate predictor throughout; every dispatched </w:t>
      </w:r>
      <w:r>
        <w:rPr>
          <w:rFonts w:ascii="Times New Roman" w:cs="Times New Roman" w:eastAsia="Times New Roman" w:hAnsi="Times New Roman"/>
          <w:sz w:val="24"/>
          <w:szCs w:val="24"/>
        </w:rPr>
        <w:t>MgB</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-class candidate inherits an upper-critical-field anchor of 15.5 T carrying a 20–50% deviation flag. The other two rules are stated because the diagnostic determines them and they would govern any dispatch that passed the gates. For iron chalcogenide 11-type, sample-form conditioning is informative but not decisive at a ratio of 0.37 on the deposited anchors, so the dispatch would use the source-paper sample form where the cell is populated and fall back to the single-crystal cell, the largest and best calibrated cell in the available literature, otherwise. For iron pnictide 122-type, conditioning is informative but less decisive, so the predictor would use the source-paper sample form when available and fall back to the single-crystal cell otherwise.</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p>
    <w:p>
      <w:pPr>
        <w:spacing w:after="0" w:line="480"/>
        <w:ind w:firstLine="431"/>
        <w:jc w:val="both"/>
      </w:pPr>
      <w:r>
        <w:rPr>
          <w:rFonts w:ascii="Times New Roman" w:cs="Times New Roman" w:eastAsia="Times New Roman" w:hAnsi="Times New Roman"/>
          <w:i/>
          <w:iCs/>
          <w:sz w:val="24"/>
          <w:szCs w:val="24"/>
        </w:rPr>
        <w:t xml:space="preserve">The dispatch lies below the validated field window.</w:t>
      </w:r>
      <w:r>
        <w:rPr>
          <w:rFonts w:ascii="Times New Roman" w:cs="Times New Roman" w:eastAsia="Times New Roman" w:hAnsi="Times New Roman"/>
          <w:sz w:val="24"/>
          <w:szCs w:val="24"/>
        </w:rPr>
        <w:t xml:space="preserve"> Before quoting any dispatched value we record a limitation that follows from the applicability criterion of Eq. (1). That criterion admits a curve to the field axis only when its measured field span exceeds 0.3 of the upper critical field, a condition on the width of the fitted interval rather than on where any single point sits, whereas the dispatch grid evaluates at 0.1, 1 and 5 T against anchors of 15.5 to 60 T, so most grid targets fall far below a reduced field of 0.3. Those are refused rather than reported: every emitted target sits at a reduced field of 0.3226 against the 15.5 T MgB2 parent anchor. This is the reason we report the family comparison at the lowest evaluated field, where that term contributes least, and the reason the field-axis result is carried as a labelled limitation rather than as a validated prediction.</w:t>
      </w:r>
    </w:p>
    <w:p>
      <w:pPr>
        <w:spacing w:after="0" w:line="480"/>
        <w:ind w:firstLine="431"/>
        <w:jc w:val="both"/>
      </w:pPr>
      <w:r>
        <w:rPr>
          <w:rFonts w:ascii="Times New Roman" w:cs="Times New Roman" w:eastAsia="Times New Roman" w:hAnsi="Times New Roman"/>
          <w:i/>
          <w:iCs/>
          <w:sz w:val="24"/>
          <w:szCs w:val="24"/>
        </w:rPr>
        <w:t xml:space="preserve">Uncertainty.</w:t>
      </w:r>
      <w:r>
        <w:rPr>
          <w:rFonts w:ascii="Times New Roman" w:cs="Times New Roman" w:eastAsia="Times New Roman" w:hAnsi="Times New Roman"/>
          <w:sz w:val="24"/>
          <w:szCs w:val="24"/>
        </w:rPr>
        <w:t xml:space="preserve"> The median full width of the 95% bootstrap confidence interval </w:t>
      </w:r>
      <w:r>
        <w:rPr>
          <w:rFonts w:ascii="Times New Roman" w:cs="Times New Roman" w:eastAsia="Times New Roman" w:hAnsi="Times New Roman"/>
          <w:sz w:val="24"/>
          <w:szCs w:val="24"/>
        </w:rPr>
        <w:t xml:space="preserve">[41]</w:t>
      </w:r>
      <w:r>
        <w:rPr>
          <w:rFonts w:ascii="Times New Roman" w:cs="Times New Roman" w:eastAsia="Times New Roman" w:hAnsi="Times New Roman"/>
          <w:sz w:val="24"/>
          <w:szCs w:val="24"/>
        </w:rPr>
        <w:t xml:space="preserve"> across non-refused predictions is 0.61 dex in log10 Jc, a factor of about 4.1 in Jc</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r>
        <w:rPr>
          <w:rFonts w:ascii="Times New Roman" w:cs="Times New Roman" w:eastAsia="Times New Roman" w:hAnsi="Times New Roman"/>
          <w:i/>
          <w:iCs/>
          <w:sz w:val="24"/>
          <w:szCs w:val="24"/>
        </w:rPr>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r>
        <w:rPr>
          <w:rFonts w:ascii="Times New Roman" w:cs="Times New Roman" w:eastAsia="Times New Roman" w:hAnsi="Times New Roman"/>
          <w:i/>
          <w:iCs/>
          <w:sz w:val="24"/>
          <w:szCs w:val="24"/>
        </w:rPr>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Under an approximately Gaussian interpretation this corresponds to a pointwise one-sigma uncertainty of about 0.16 dex. The substructure-aggregate quadrature gives 0.27 dex at one sigma within the iron pnictide 122-type scope, computed from residual standard deviations of 0.265 in log10 Jc,partial, 0.563 in βT, and 0.920 in βH, and it is flat to within 0.005 dex across the evaluated field grid. A previous version gave 0.29 dex from a βT scatter of 1.158, which is not reproducible from the deposit: that family's 106 temperature-axis fits give 1.171 on the exponent as deposited and 0.563 on the repaired exponent, and every one of them was repaired. The repaired exponent is the one the 257-fit cohort and the rest of this paper use, so it is the one propagated here. This scope emits no prediction under the refusal gates of this revision. On the MgB2 class, the only family that does emit, the same propagation gives 0.49 dex at 4.2 K and 0.57 dex at 20 K, and those are the figures that attach to the dispatched predictions.</w:t>
      </w:r>
      <w:r>
        <w:rPr>
          <w:rFonts w:ascii="Times New Roman" w:cs="Times New Roman" w:eastAsia="Times New Roman" w:hAnsi="Times New Roman"/>
          <w:i w:val="false"/>
          <w:iCs w:val="false"/>
          <w:sz w:val="24"/>
          <w:szCs w:val="24"/>
          <w:vertAlign w:val="subscript"/>
        </w:rPr>
        <w:t xml:space="preserve"/>
      </w:r>
      <w:r>
        <w:rPr>
          <w:rFonts w:ascii="Times New Roman" w:cs="Times New Roman" w:eastAsia="Times New Roman" w:hAnsi="Times New Roman"/>
          <w:sz w:val="24"/>
          <w:szCs w:val="24"/>
        </w:rPr>
        <w:t xml:space="preserve"/>
      </w:r>
      <w:r>
        <w:rPr>
          <w:rFonts w:ascii="Times New Roman" w:cs="Times New Roman" w:eastAsia="Times New Roman" w:hAnsi="Times New Roman"/>
          <w:i/>
          <w:iCs/>
          <w:sz w:val="24"/>
          <w:szCs w:val="24"/>
        </w:rPr>
        <w:t xml:space="preserve"/>
      </w:r>
      <w:r>
        <w:rPr>
          <w:rFonts w:ascii="Times New Roman" w:cs="Times New Roman" w:eastAsia="Times New Roman" w:hAnsi="Times New Roman"/>
          <w:i w:val="false"/>
          <w:iCs w:val="false"/>
          <w:sz w:val="24"/>
          <w:szCs w:val="24"/>
          <w:vertAlign w:val="subscript"/>
        </w:rPr>
        <w:t xml:space="preserve"/>
      </w:r>
      <w:r>
        <w:rPr>
          <w:rFonts w:ascii="Times New Roman" w:cs="Times New Roman" w:eastAsia="Times New Roman" w:hAnsi="Times New Roman"/>
          <w:sz w:val="24"/>
          <w:szCs w:val="24"/>
        </w:rPr>
        <w:t xml:space="preserve"/>
      </w:r>
      <w:r>
        <w:rPr>
          <w:rFonts w:ascii="Times New Roman" w:cs="Times New Roman" w:eastAsia="Times New Roman" w:hAnsi="Times New Roman"/>
          <w:i w:val="false"/>
          <w:iCs w:val="false"/>
          <w:sz w:val="24"/>
          <w:szCs w:val="24"/>
          <w:vertAlign w:val="subscript"/>
        </w:rPr>
        <w:t xml:space="preserve"/>
      </w:r>
      <w:r>
        <w:rPr>
          <w:rFonts w:ascii="Times New Roman" w:cs="Times New Roman" w:eastAsia="Times New Roman" w:hAnsi="Times New Roman"/>
          <w:sz w:val="24"/>
          <w:szCs w:val="24"/>
        </w:rPr>
        <w:t xml:space="preserve"/>
      </w:r>
      <w:r>
        <w:rPr>
          <w:rFonts w:ascii="Times New Roman" w:cs="Times New Roman" w:eastAsia="Times New Roman" w:hAnsi="Times New Roman"/>
          <w:i w:val="false"/>
          <w:iCs w:val="false"/>
          <w:sz w:val="24"/>
          <w:szCs w:val="24"/>
          <w:vertAlign w:val="subscript"/>
        </w:rPr>
        <w:t xml:space="preserve"/>
      </w:r>
      <w:r>
        <w:rPr>
          <w:rFonts w:ascii="Times New Roman" w:cs="Times New Roman" w:eastAsia="Times New Roman" w:hAnsi="Times New Roman"/>
          <w:sz w:val="24"/>
          <w:szCs w:val="24"/>
        </w:rPr>
        <w:t xml:space="preserve"> Both remain below the 1 dex screening-grade threshold, but they mean different things: the bootstrap interval captures local prediction uncertainty at specific evaluated grid points, while the quadrature accounts for all structural error sources, namely residual standard deviations in β</w:t>
      </w:r>
      <w:r>
        <w:rPr>
          <w:rFonts w:ascii="Times New Roman" w:cs="Times New Roman" w:eastAsia="Times New Roman" w:hAnsi="Times New Roman"/>
          <w:i w:val="false"/>
          <w:iCs w:val="false"/>
          <w:sz w:val="24"/>
          <w:szCs w:val="24"/>
          <w:vertAlign w:val="subscript"/>
        </w:rPr>
        <w:t xml:space="preserve">T</w:t>
      </w:r>
      <w:r>
        <w:rPr>
          <w:rFonts w:ascii="Times New Roman" w:cs="Times New Roman" w:eastAsia="Times New Roman" w:hAnsi="Times New Roman"/>
          <w:sz w:val="24"/>
          <w:szCs w:val="24"/>
        </w:rPr>
        <w:t xml:space="preserve">, β</w:t>
      </w:r>
      <w:r>
        <w:rPr>
          <w:rFonts w:ascii="Times New Roman" w:cs="Times New Roman" w:eastAsia="Times New Roman" w:hAnsi="Times New Roman"/>
          <w:i w:val="false"/>
          <w:iCs w:val="false"/>
          <w:sz w:val="24"/>
          <w:szCs w:val="24"/>
          <w:vertAlign w:val="subscript"/>
        </w:rPr>
        <w:t xml:space="preserve">H</w:t>
      </w:r>
      <w:r>
        <w:rPr>
          <w:rFonts w:ascii="Times New Roman" w:cs="Times New Roman" w:eastAsia="Times New Roman" w:hAnsi="Times New Roman"/>
          <w:sz w:val="24"/>
          <w:szCs w:val="24"/>
        </w:rPr>
        <w:t xml:space="preserve">, and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c,partial</w:t>
      </w:r>
      <w:r>
        <w:rPr>
          <w:rFonts w:ascii="Times New Roman" w:cs="Times New Roman" w:eastAsia="Times New Roman" w:hAnsi="Times New Roman"/>
          <w:sz w:val="24"/>
          <w:szCs w:val="24"/>
        </w:rPr>
        <w:t xml:space="preserve">, across the full substructure scope. We quote two significant figures for every uncertainty presented as a headline result, since the third digit is not supported by a cohort of this size. Component quantities are retained to three figures where they are inputs to a calculation the reader may wish to repeat, as with the residual standard deviations above, and fitted exponents and validation errors are retained to three figures where they are compared across families, as in the applicability table, where rounding would collapse the distinction the table turns on.</w:t>
      </w:r>
    </w:p>
    <w:p>
      <w:pPr>
        <w:spacing w:after="0" w:line="480"/>
        <w:ind w:firstLine="431"/>
        <w:jc w:val="both"/>
      </w:pPr>
      <w:r>
        <w:rPr>
          <w:rFonts w:ascii="Times New Roman" w:cs="Times New Roman" w:eastAsia="Times New Roman" w:hAnsi="Times New Roman"/>
          <w:i/>
          <w:iCs/>
          <w:sz w:val="24"/>
          <w:szCs w:val="24"/>
        </w:rPr>
        <w:t>Family-level screening outcome. Only the MgB2 class dispatches under the refusal gates of this revision, so there is one family median to report: 4.98 in log10 Jc with Jc in A cm−2, at 4.2 K and 5 T, over the 86 records covering 84 compounds. The evaluation grid carries three fields, 0.1, 1 and 5 T, and every target at 0.1 and 1 T is refused for lying below the validated reduced field, so no median can be quoted at either. The grid also carried a temperature point at 0.77 Tc for every candidate, ten percent past the reduced-temperature bound and beyond the reach of any deposited fit, whose largest measured coverage is 0.6944. Those 93 targets are refused as well. An earlier version of this section reported medians of 6.00, 5.75 and 5.32 at 0.1 T across the three families, and a top-quartile slice that was entirely iron chalcogenide 11-type. Both rest on predictions this revision's reduced-field gate refuses, and both are withdrawn rather than restated. The surviving grid point sits at the edge of the applicability window: every dispatched candidate carries an upper-critical-field anchor of 15.5 T, so 5 T is a reduced field of 0.3226. We note what that number is and is not. Eq. (1) admits a curve to the field-axis fit on the width of its measured interval, (Hmax - Hmin)/Hc2,0 &gt; 0.3, which is a property of a fitted curve and not of a single evaluation point, so 0.3226 is not a margin against that criterion. What it is comparable to is the reduced-field range the admitted fits actually cover, and the dispatch gate of Sec. II.D refuses any target below 0.3 on that reading. The parent anchor carries a 20 to 50 percent deviation flag, and a 20 percent upward revision of it would put every emitted target below the gate.</w:t>
      </w:r>
      <w:r>
        <w:rPr>
          <w:rFonts w:ascii="Times New Roman" w:cs="Times New Roman" w:eastAsia="Times New Roman" w:hAnsi="Times New Roman"/>
          <w:sz w:val="24"/>
          <w:szCs w:val="24"/>
        </w:rPr>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r>
        <w:rPr>
          <w:rFonts w:ascii="Times New Roman" w:cs="Times New Roman" w:eastAsia="Times New Roman" w:hAnsi="Times New Roman"/>
          <w:i/>
          <w:iCs/>
          <w:sz w:val="24"/>
          <w:szCs w:val="24"/>
        </w:rPr>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r>
        <w:rPr>
          <w:rFonts w:ascii="Times New Roman" w:cs="Times New Roman" w:eastAsia="Times New Roman" w:hAnsi="Times New Roman"/>
          <w:i/>
          <w:iCs/>
          <w:sz w:val="24"/>
          <w:szCs w:val="24"/>
        </w:rPr>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r>
        <w:rPr>
          <w:rFonts w:ascii="Times New Roman" w:cs="Times New Roman" w:eastAsia="Times New Roman" w:hAnsi="Times New Roman"/>
          <w:i w:val="false"/>
          <w:iCs w:val="false"/>
          <w:sz w:val="24"/>
          <w:szCs w:val="24"/>
          <w:vertAlign w:val="superscript"/>
        </w:rPr>
      </w:r>
      <w:r>
        <w:rPr>
          <w:rFonts w:ascii="Times New Roman" w:cs="Times New Roman" w:eastAsia="Times New Roman" w:hAnsi="Times New Roman"/>
          <w:sz w:val="24"/>
          <w:szCs w:val="24"/>
        </w:rPr>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xml:space="preserve"> Plotted across the full reduced-field range over which the exponent is validated, the family envelopes are not parallel and the ordering does not persist. Iron chalcogenide 11-type and iron pnictide 122-type cross at a reduced field of 0.58, above which the 122-type envelope is the higher of the two, by 0.69 dex at a reduced field of 0.9 (Fig. 5). Those envelopes are what the fitted exponents support for their families. They are not dispatched predictions, and with the chalcogenide and 122 dispatches closed there is no screening comparison between families left to state. We therefore claim nothing finer than a family-level statement, and at present the dispatch supports one: the MgB2 class, at 4.2 K and 5 T.</w:t>
      </w:r>
    </w:p>
    <w:p>
      <w:pPr>
        <w:spacing w:after="0" w:line="480"/>
        <w:ind w:firstLine="431"/>
        <w:jc w:val="both"/>
      </w:pPr>
      <w:r>
        <w:rPr>
          <w:rFonts w:ascii="Times New Roman" w:cs="Times New Roman" w:eastAsia="Times New Roman" w:hAnsi="Times New Roman"/>
          <w:sz w:val="24"/>
          <w:szCs w:val="24"/>
        </w:rPr>
        <w:t xml:space="preserve">We note for the reader comparing against experiment that 1 T is close to self-field for these materials: at 1 T against a 50 T upper critical field, </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w:t>
      </w:r>
      <w:r>
        <w:rPr>
          <w:rFonts w:ascii="Times New Roman" w:cs="Times New Roman" w:eastAsia="Times New Roman" w:hAnsi="Times New Roman"/>
          <w:sz w:val="24"/>
          <w:szCs w:val="24"/>
        </w:rPr>
        <w:t xml:space="preserve"> is 0.02, and the field-dependence term of Eq. (2) has barely engaged. Reported field dependences that look implausibly weak on this scale are an arithmetic consequence of the reduced-field range covered, not a physical claim about weak pinning </w:t>
      </w:r>
      <w:r>
        <w:rPr>
          <w:rFonts w:ascii="Times New Roman" w:cs="Times New Roman" w:eastAsia="Times New Roman" w:hAnsi="Times New Roman"/>
          <w:sz w:val="24"/>
          <w:szCs w:val="24"/>
        </w:rPr>
        <w:t xml:space="preserve">[42]</w:t>
      </w:r>
      <w:r>
        <w:rPr>
          <w:rFonts w:ascii="Times New Roman" w:cs="Times New Roman" w:eastAsia="Times New Roman" w:hAnsi="Times New Roman"/>
          <w:sz w:val="24"/>
          <w:szCs w:val="24"/>
        </w:rPr>
        <w:t xml:space="preserve">. Figure 5 is therefore plotted over the reduced-field window within which the fits are validated, rather than over the raw field range of the underlying measurements.</w:t>
      </w:r>
    </w:p>
    <w:p>
      <w:pPr>
        <w:spacing w:after="0" w:line="480"/>
        <w:ind w:firstLine="431"/>
        <w:jc w:val="both"/>
      </w:pPr>
      <w:r>
        <w:rPr>
          <w:rFonts w:ascii="Times New Roman" w:cs="Times New Roman" w:eastAsia="Times New Roman" w:hAnsi="Times New Roman"/>
          <w:i/>
          <w:iCs/>
          <w:sz w:val="24"/>
          <w:szCs w:val="24"/>
        </w:rPr>
        <w:t xml:space="preserve">Why per-compound rankings are withheld.</w:t>
      </w:r>
      <w:r>
        <w:rPr>
          <w:rFonts w:ascii="Times New Roman" w:cs="Times New Roman" w:eastAsia="Times New Roman" w:hAnsi="Times New Roman"/>
          <w:sz w:val="24"/>
          <w:szCs w:val="24"/>
        </w:rPr>
        <w:t xml:space="preserve"> No candidate triggers the non-monotonic temperature-dependence gate. Of the candidate-grid-point predictions, 50.3% for lying below the validated reduced field, 25.8% for a missing upper-critical-field anchor, 9.9% for a target temperature above Tc, 4.4% for lying at or above the validated reduced temperature, 1.9% for the family failing field-axis validation.</w:t>
      </w:r>
    </w:p>
    <w:p>
      <w:pPr>
        <w:spacing w:after="0" w:line="480"/>
        <w:ind w:firstLine="431"/>
        <w:jc w:val="both"/>
      </w:pPr>
      <w:r>
        <w:rPr>
          <w:rFonts w:ascii="Times New Roman" w:cs="Times New Roman" w:eastAsia="Times New Roman" w:hAnsi="Times New Roman"/>
          <w:sz w:val="24"/>
          <w:szCs w:val="24"/>
        </w:rPr>
        <w:t xml:space="preserve">We do not emit per-compound rankings within a family, and the reason is structural rather than statistical. The dispatch emits at two grid points. At 4.2 K and 5 T the 86 </w:t>
      </w:r>
      <w:r>
        <w:rPr>
          <w:rFonts w:ascii="Times New Roman" w:cs="Times New Roman" w:eastAsia="Times New Roman" w:hAnsi="Times New Roman"/>
          <w:sz w:val="24"/>
          <w:szCs w:val="24"/>
        </w:rPr>
        <w:t>MgB</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-class prediction records covering 84 distinct compounds span 0.0098 dex, which is 1.6% of the 0.60 dex bootstrap interval at the same point; at 20 K and 5 T the 77 records covering 75 compounds span 0.259 dex. Both points clear the gates of this revision, at reduced temperatures of 0.48 to 0.70 and a reduced field of 0.3226. An earlier version of this section called 4.2 K and 5 T the only grid point at which anything is dispatched, which is wrong. The family emits one value for every purpose the paper claims at the lower point, and this follows from the inference procedure of Section II.D in a more specific way than we previously stated. The substructure and sample-form conditioning fixes every parameter of Eq. (2); every dispatched record carries the same 15.5 T parent anchor, so the field term is common to all of them; and the model is anchored at a reference point whose temperature is 4.2 K, so at 4.2 K the temperature term is the difference of a quantity from itself and is identically zero for every candidate whatever its transition-temperature anchor. Across 59 distinct anchors from 8.9 to 41.4 K the largest value that term takes is exactly zero. The prediction at that grid point is therefore a single family-level constant, and the residual 0.0098 dex is the bootstrap draw over an 18-fit pool rather than variation between compounds: resampling that pool 84 times independently returns 0.0092 dex with a standard deviation of 0.0016. At 20 K the transition-temperature anchor does enter, and the prediction regresses on the temperature term with a slope of 1.22 and an R squared of 0.996, recovering the family exponent of 1.14.</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r>
        <w:rPr>
          <w:rFonts w:ascii="Times New Roman" w:cs="Times New Roman" w:eastAsia="Times New Roman" w:hAnsi="Times New Roman"/>
          <w:b/>
          <w:bCs/>
          <w:sz w:val="24"/>
          <w:szCs w:val="24"/>
        </w:rPr>
      </w:r>
      <w:r>
        <w:rPr>
          <w:rFonts w:ascii="Times New Roman" w:cs="Times New Roman" w:eastAsia="Times New Roman" w:hAnsi="Times New Roman"/>
          <w:sz w:val="24"/>
          <w:szCs w:val="24"/>
        </w:rPr>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p>
    <w:p>
      <w:pPr>
        <w:spacing w:after="0" w:line="480"/>
        <w:ind w:firstLine="431"/>
        <w:jc w:val="both"/>
      </w:pPr>
      <w:r>
        <w:rPr>
          <w:rFonts w:ascii="Times New Roman" w:cs="Times New Roman" w:eastAsia="Times New Roman" w:hAnsi="Times New Roman"/>
          <w:sz w:val="24"/>
          <w:szCs w:val="24"/>
        </w:rPr>
        <w:t>Per-compound differentiation within a family is thus carried entirely by the upper-critical-field anchor, the quantity whose provenance is weakest in this corpus (Sec. III.F). Reporting family-scope envelopes with uncertainty bounds, rather than compound rankings, is not a conservative reading of a marginal signal. It is the only claim the predictor's construction supports, and it would remain so even if the field scale were exact. We state this plainly because the alternative reading, that the framework ranks 183 candidate compounds, is available from a casual reading of a candidate table and is not what the method does.</w:t>
      </w:r>
    </w:p>
    <w:p>
      <w:pPr>
        <w:spacing w:after="120" w:before="240"/>
        <w:jc w:val="center"/>
      </w:pPr>
      <w:r>
        <w:drawing>
          <wp:inline distT="0" distB="0" distL="0" distR="0">
            <wp:extent cx="5715000" cy="2718509"/>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718509"/>
                    </a:xfrm>
                    <a:prstGeom prst="rect">
                      <a:avLst/>
                    </a:prstGeom>
                  </pic:spPr>
                </pic:pic>
              </a:graphicData>
            </a:graphic>
          </wp:inline>
        </w:drawing>
      </w:r>
    </w:p>
    <w:p>
      <w:pPr>
        <w:spacing w:after="360" w:line="240"/>
        <w:jc w:val="both"/>
      </w:pPr>
      <w:r>
        <w:rPr>
          <w:rFonts w:ascii="Times New Roman" w:cs="Times New Roman" w:eastAsia="Times New Roman" w:hAnsi="Times New Roman"/>
          <w:b/>
          <w:bCs/>
          <w:sz w:val="20"/>
          <w:szCs w:val="20"/>
        </w:rPr>
        <w:t xml:space="preserve">FIG. 5.</w:t>
      </w:r>
      <w:r>
        <w:rPr>
          <w:rFonts w:ascii="Times New Roman" w:cs="Times New Roman" w:eastAsia="Times New Roman" w:hAnsi="Times New Roman"/>
          <w:sz w:val="20"/>
          <w:szCs w:val="20"/>
        </w:rPr>
        <w:t xml:space="preserve"> Family-scope critical-current envelopes for validated candidate substructures, plotted across the range over which the exponents are validated. Each family's exponents are its median fitted exponent on each axis and its median partial critical-current anchor, over the admitted field-axis cohort and the repaired temperature-axis cohort, regenerated by analysis/fit_family_params.py. (a) Predicted temperature dependence of log10 Jc at a fixed reduced field H/Hc2,0 = 0.5, against reduced temperature T/Tc.</w:t>
      </w:r>
      <w:r>
        <w:rPr>
          <w:rFonts w:ascii="Times New Roman" w:cs="Times New Roman" w:eastAsia="Times New Roman" w:hAnsi="Times New Roman"/>
          <w:i w:val="false"/>
          <w:iCs w:val="false"/>
          <w:sz w:val="20"/>
          <w:szCs w:val="20"/>
          <w:vertAlign w:val="subscript"/>
        </w:rPr>
        <w:t xml:space="preserve"/>
      </w:r>
      <w:r>
        <w:rPr>
          <w:rFonts w:ascii="Times New Roman" w:cs="Times New Roman" w:eastAsia="Times New Roman" w:hAnsi="Times New Roman"/>
          <w:sz w:val="20"/>
          <w:szCs w:val="20"/>
        </w:rPr>
        <w:t xml:space="preserve"/>
      </w:r>
      <w:r>
        <w:rPr>
          <w:rFonts w:ascii="Times New Roman" w:cs="Times New Roman" w:eastAsia="Times New Roman" w:hAnsi="Times New Roman"/>
          <w:i/>
          <w:iCs/>
          <w:sz w:val="20"/>
          <w:szCs w:val="20"/>
        </w:rPr>
        <w:t xml:space="preserve"/>
      </w:r>
      <w:r>
        <w:rPr>
          <w:rFonts w:ascii="Times New Roman" w:cs="Times New Roman" w:eastAsia="Times New Roman" w:hAnsi="Times New Roman"/>
          <w:i w:val="false"/>
          <w:iCs w:val="false"/>
          <w:sz w:val="20"/>
          <w:szCs w:val="20"/>
          <w:vertAlign w:val="subscript"/>
        </w:rPr>
        <w:t xml:space="preserve"/>
      </w:r>
      <w:r>
        <w:rPr>
          <w:rFonts w:ascii="Times New Roman" w:cs="Times New Roman" w:eastAsia="Times New Roman" w:hAnsi="Times New Roman"/>
          <w:sz w:val="20"/>
          <w:szCs w:val="20"/>
        </w:rPr>
        <w:t xml:space="preserve"/>
      </w:r>
      <w:r>
        <w:rPr>
          <w:rFonts w:ascii="Times New Roman" w:cs="Times New Roman" w:eastAsia="Times New Roman" w:hAnsi="Times New Roman"/>
          <w:i/>
          <w:iCs/>
          <w:sz w:val="20"/>
          <w:szCs w:val="20"/>
        </w:rPr>
        <w:t xml:space="preserve"/>
      </w:r>
      <w:r>
        <w:rPr>
          <w:rFonts w:ascii="Times New Roman" w:cs="Times New Roman" w:eastAsia="Times New Roman" w:hAnsi="Times New Roman"/>
          <w:sz w:val="20"/>
          <w:szCs w:val="20"/>
        </w:rPr>
        <w:t xml:space="preserve"/>
      </w:r>
      <w:r>
        <w:rPr>
          <w:rFonts w:ascii="Times New Roman" w:cs="Times New Roman" w:eastAsia="Times New Roman" w:hAnsi="Times New Roman"/>
          <w:i/>
          <w:iCs/>
          <w:sz w:val="20"/>
          <w:szCs w:val="20"/>
        </w:rPr>
        <w:t xml:space="preserve"/>
      </w:r>
      <w:r>
        <w:rPr>
          <w:rFonts w:ascii="Times New Roman" w:cs="Times New Roman" w:eastAsia="Times New Roman" w:hAnsi="Times New Roman"/>
          <w:i w:val="false"/>
          <w:iCs w:val="false"/>
          <w:sz w:val="20"/>
          <w:szCs w:val="20"/>
          <w:vertAlign w:val="subscript"/>
        </w:rPr>
        <w:t xml:space="preserve"/>
      </w:r>
      <w:r>
        <w:rPr>
          <w:rFonts w:ascii="Times New Roman" w:cs="Times New Roman" w:eastAsia="Times New Roman" w:hAnsi="Times New Roman"/>
          <w:sz w:val="20"/>
          <w:szCs w:val="20"/>
        </w:rPr>
        <w:t xml:space="preserve"/>
      </w:r>
      <w:r>
        <w:rPr>
          <w:rFonts w:ascii="Times New Roman" w:cs="Times New Roman" w:eastAsia="Times New Roman" w:hAnsi="Times New Roman"/>
          <w:i/>
          <w:iCs/>
          <w:sz w:val="20"/>
          <w:szCs w:val="20"/>
        </w:rPr>
        <w:t xml:space="preserve"/>
      </w:r>
      <w:r>
        <w:rPr>
          <w:rFonts w:ascii="Times New Roman" w:cs="Times New Roman" w:eastAsia="Times New Roman" w:hAnsi="Times New Roman"/>
          <w:sz w:val="20"/>
          <w:szCs w:val="20"/>
        </w:rPr>
        <w:t xml:space="preserve"/>
      </w:r>
      <w:r>
        <w:rPr>
          <w:rFonts w:ascii="Times New Roman" w:cs="Times New Roman" w:eastAsia="Times New Roman" w:hAnsi="Times New Roman"/>
          <w:i/>
          <w:iCs/>
          <w:sz w:val="20"/>
          <w:szCs w:val="20"/>
        </w:rPr>
        <w:t xml:space="preserve"/>
      </w:r>
      <w:r>
        <w:rPr>
          <w:rFonts w:ascii="Times New Roman" w:cs="Times New Roman" w:eastAsia="Times New Roman" w:hAnsi="Times New Roman"/>
          <w:i w:val="false"/>
          <w:iCs w:val="false"/>
          <w:sz w:val="20"/>
          <w:szCs w:val="20"/>
          <w:vertAlign w:val="subscript"/>
        </w:rPr>
        <w:t xml:space="preserve"/>
      </w:r>
      <w:r>
        <w:rPr>
          <w:rFonts w:ascii="Times New Roman" w:cs="Times New Roman" w:eastAsia="Times New Roman" w:hAnsi="Times New Roman"/>
          <w:sz w:val="20"/>
          <w:szCs w:val="20"/>
        </w:rPr>
        <w:t xml:space="preserve"> (b) Predicted field dependence at 4.2 K, against reduced field </w:t>
      </w:r>
      <w:r>
        <w:rPr>
          <w:rFonts w:ascii="Times New Roman" w:cs="Times New Roman" w:eastAsia="Times New Roman" w:hAnsi="Times New Roman"/>
          <w:i/>
          <w:iCs/>
          <w:sz w:val="20"/>
          <w:szCs w:val="20"/>
        </w:rPr>
        <w:t xml:space="preserve">H</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H</w:t>
      </w:r>
      <w:r>
        <w:rPr>
          <w:rFonts w:ascii="Times New Roman" w:cs="Times New Roman" w:eastAsia="Times New Roman" w:hAnsi="Times New Roman"/>
          <w:i w:val="false"/>
          <w:iCs w:val="false"/>
          <w:sz w:val="20"/>
          <w:szCs w:val="20"/>
          <w:vertAlign w:val="subscript"/>
        </w:rPr>
        <w:t xml:space="preserve">c2,0</w:t>
      </w:r>
      <w:r>
        <w:rPr>
          <w:rFonts w:ascii="Times New Roman" w:cs="Times New Roman" w:eastAsia="Times New Roman" w:hAnsi="Times New Roman"/>
          <w:sz w:val="20"/>
          <w:szCs w:val="20"/>
        </w:rPr>
        <w:t xml:space="preserve"> rather than absolute field, so that families with different critical fields are compared at matched reduced conditions. Curves are solid inside the applicability window of Sec. II.A, </w:t>
      </w:r>
      <w:r>
        <w:rPr>
          <w:rFonts w:ascii="Times New Roman" w:cs="Times New Roman" w:eastAsia="Times New Roman" w:hAnsi="Times New Roman"/>
          <w:i/>
          <w:iCs/>
          <w:sz w:val="20"/>
          <w:szCs w:val="20"/>
        </w:rPr>
        <w:t xml:space="preserve">T</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T</w:t>
      </w:r>
      <w:r>
        <w:rPr>
          <w:rFonts w:ascii="Times New Roman" w:cs="Times New Roman" w:eastAsia="Times New Roman" w:hAnsi="Times New Roman"/>
          <w:i w:val="false"/>
          <w:iCs w:val="false"/>
          <w:sz w:val="20"/>
          <w:szCs w:val="20"/>
          <w:vertAlign w:val="subscript"/>
        </w:rPr>
        <w:t xml:space="preserve">c</w:t>
      </w:r>
      <w:r>
        <w:rPr>
          <w:rFonts w:ascii="Times New Roman" w:cs="Times New Roman" w:eastAsia="Times New Roman" w:hAnsi="Times New Roman"/>
          <w:sz w:val="20"/>
          <w:szCs w:val="20"/>
        </w:rPr>
        <w:t xml:space="preserve"> &lt; 0.7 and </w:t>
      </w:r>
      <w:r>
        <w:rPr>
          <w:rFonts w:ascii="Times New Roman" w:cs="Times New Roman" w:eastAsia="Times New Roman" w:hAnsi="Times New Roman"/>
          <w:i/>
          <w:iCs/>
          <w:sz w:val="20"/>
          <w:szCs w:val="20"/>
        </w:rPr>
        <w:t xml:space="preserve">H</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H</w:t>
      </w:r>
      <w:r>
        <w:rPr>
          <w:rFonts w:ascii="Times New Roman" w:cs="Times New Roman" w:eastAsia="Times New Roman" w:hAnsi="Times New Roman"/>
          <w:i w:val="false"/>
          <w:iCs w:val="false"/>
          <w:sz w:val="20"/>
          <w:szCs w:val="20"/>
          <w:vertAlign w:val="subscript"/>
        </w:rPr>
        <w:t xml:space="preserve">c2,0</w:t>
      </w:r>
      <w:r>
        <w:rPr>
          <w:rFonts w:ascii="Times New Roman" w:cs="Times New Roman" w:eastAsia="Times New Roman" w:hAnsi="Times New Roman"/>
          <w:sz w:val="20"/>
          <w:szCs w:val="20"/>
        </w:rPr>
        <w:t xml:space="preserve"> &gt; 0.3, and dashed outside it; the shaded grey region marks the out-of-window portion of each axis. Circles in panel (b) mark the three fields at which the dispatch grid is evaluated, 0.1, 1 and 5 T, placed using each family's most common anchor; filled where the target is dispatched and open where it is refused. Only one is filled. Every other grid point falls in the low-reduced-field corner where the field term of Eq. (2) has barely engaged, and is refused for that reason. Shaded envelopes are drawn at a constant half-width of 0.31 dex around each curve. That is half the median full width of the 95% bootstrap confidence interval quoted as 0.61 dex in the text (5000 iterations) across the non-refused predictions, every one of which is MgB2-class, so one family's uncertainty is drawn around all three and the two envelopes that dispatch nothing carry no uncertainty of their own. Within the dispatched set the per-grid-point half-width is 0.30 dex at 4.2 K and 0.41 dex at 20 K. The cross in panel (b) marks the reduced field of 0.58 at which the iron chalcogenide and iron pnictide envelopes cross, discussed in Sec. III.E. Each curve is shared by every dispatched candidate in its family: within a family the predictor emits one envelope, not one curve per compound. These curves apply only to candidates that pass the refusal gates, which at present is the MgB2 class alone, and panel (b) carries the field-scale qualification of Sec. III.F.</w:t>
      </w:r>
    </w:p>
    <w:p>
      <w:pPr>
        <w:pStyle w:val="Heading2"/>
        <w:spacing w:after="200" w:before="360"/>
        <w:jc w:val="center"/>
      </w:pPr>
      <w:r>
        <w:rPr>
          <w:rFonts w:ascii="Times New Roman" w:cs="Times New Roman" w:eastAsia="Times New Roman" w:hAnsi="Times New Roman"/>
          <w:b/>
          <w:bCs/>
          <w:color w:val="000000"/>
          <w:sz w:val="24"/>
          <w:szCs w:val="24"/>
        </w:rPr>
        <w:t xml:space="preserve">F. Limitations and assumptions</w:t>
      </w:r>
    </w:p>
    <w:p>
      <w:pPr>
        <w:spacing w:after="0" w:line="480"/>
        <w:ind w:firstLine="431"/>
        <w:jc w:val="both"/>
      </w:pPr>
      <w:r>
        <w:rPr>
          <w:rFonts w:ascii="Times New Roman" w:cs="Times New Roman" w:eastAsia="Times New Roman" w:hAnsi="Times New Roman"/>
          <w:sz w:val="24"/>
          <w:szCs w:val="24"/>
        </w:rPr>
        <w:t xml:space="preserve">Four assumptions and one data-layer finding bound the generalizability of the framework. The predictions are screening-level tools, and their proper use depends on understanding where these bounds bite.</w:t>
      </w:r>
    </w:p>
    <w:p>
      <w:pPr>
        <w:spacing w:after="0" w:line="480"/>
        <w:ind w:firstLine="431"/>
        <w:jc w:val="both"/>
      </w:pPr>
      <w:r>
        <w:rPr>
          <w:rFonts w:ascii="Times New Roman" w:cs="Times New Roman" w:eastAsia="Times New Roman" w:hAnsi="Times New Roman"/>
          <w:i/>
          <w:iCs/>
          <w:sz w:val="24"/>
          <w:szCs w:val="24"/>
        </w:rPr>
        <w:t xml:space="preserve">Assumption 1: the per-axis power-law form, with a temperature-independent field scale.</w:t>
      </w:r>
      <w:r>
        <w:rPr>
          <w:rFonts w:ascii="Times New Roman" w:cs="Times New Roman" w:eastAsia="Times New Roman" w:hAnsi="Times New Roman"/>
          <w:sz w:val="24"/>
          <w:szCs w:val="24"/>
        </w:rPr>
        <w:t xml:space="preserve"> Critical current density is assumed decomposable into the per-axis Form 3 expression of Eq. (2) within an applicability window of reduced temperature below 0.7 and reduced field above 0.3 of the upper critical field. That window is bounded from above in temperature and from below in field, and we should state plainly what it does not do. It sets no lower bound in temperature, so it does not exclude the low-temperature regime in which the measured dependence becomes exponential or stretched exponential; and the dispatch of Sec. III.E reports at 4.2 and 20 K. Both halves of the window are now enforced on the dispatch itself, per evaluation point: a target is refused below a reduced field of 0.3 and at or above a reduced temperature of 0.7. We distinguish that per-point enforcement from Eq. (1) itself, which admits a curve to the fit on the width of its measured interval rather than on where any single point sits, and we apply the stricter of the two readings to what we emit, rather than leaving the window to imply a scope we do not enforce. This form was selected by holdout comparison against two alternatives on the fully fittable cohort; it is not derived from a microscopic theory of vortex pinning. Its field term uses a temperature-independent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c2,0</w:t>
      </w:r>
      <w:r>
        <w:rPr>
          <w:rFonts w:ascii="Times New Roman" w:cs="Times New Roman" w:eastAsia="Times New Roman" w:hAnsi="Times New Roman"/>
          <w:sz w:val="24"/>
          <w:szCs w:val="24"/>
        </w:rPr>
        <w:t xml:space="preserve">, whereas the upper critical field is strongly temperature-dependent </w:t>
      </w:r>
      <w:r>
        <w:rPr>
          <w:rFonts w:ascii="Times New Roman" w:cs="Times New Roman" w:eastAsia="Times New Roman" w:hAnsi="Times New Roman"/>
          <w:sz w:val="24"/>
          <w:szCs w:val="24"/>
        </w:rPr>
        <w:t xml:space="preserve">[11]</w:t>
      </w:r>
      <w:r>
        <w:rPr>
          <w:rFonts w:ascii="Times New Roman" w:cs="Times New Roman" w:eastAsia="Times New Roman" w:hAnsi="Times New Roman"/>
          <w:sz w:val="24"/>
          <w:szCs w:val="24"/>
        </w:rPr>
        <w:t xml:space="preserve">. Separation of the temperature and field terms is therefore not guaranteed, and we can quantify the cost. Where a paper's critical scale was held fixed across measurement temperatures, the fitted field exponent drifts systematically with temperature. Across the series in which one scale was held over three or more measurement temperatures, the median absolute rank correlation between exponent and temperature is 0.80, over 13 series, and 0.80 again over the 6 sampled at four or more temperatures. On the cohort as first deposited these were 0.70 over 18 and 0.80 over 9; the withdrawals reduce the count and leave the effect slightly larger. The worked example given here previously, </w:t>
      </w:r>
      <w:r>
        <w:rPr>
          <w:rFonts w:ascii="Times New Roman" w:cs="Times New Roman" w:eastAsia="Times New Roman" w:hAnsi="Times New Roman"/>
          <w:sz w:val="24"/>
          <w:szCs w:val="24"/>
        </w:rPr>
        <w:t>SmFeAsO</w:t>
      </w:r>
      <w:r>
        <w:rPr>
          <w:rFonts w:ascii="Times New Roman" w:cs="Times New Roman" w:eastAsia="Times New Roman" w:hAnsi="Times New Roman"/>
          <w:sz w:val="24"/>
          <w:szCs w:val="24"/>
          <w:vertAlign w:val="subscript"/>
        </w:rPr>
        <w:t>0.8</w:t>
      </w:r>
      <w:r>
        <w:rPr>
          <w:rFonts w:ascii="Times New Roman" w:cs="Times New Roman" w:eastAsia="Times New Roman" w:hAnsi="Times New Roman"/>
          <w:sz w:val="24"/>
          <w:szCs w:val="24"/>
        </w:rPr>
        <w:t>F</w:t>
      </w:r>
      <w:r>
        <w:rPr>
          <w:rFonts w:ascii="Times New Roman" w:cs="Times New Roman" w:eastAsia="Times New Roman" w:hAnsi="Times New Roman"/>
          <w:sz w:val="24"/>
          <w:szCs w:val="24"/>
          <w:vertAlign w:val="subscript"/>
        </w:rPr>
        <w:t>0.2</w:t>
      </w:r>
      <w:r>
        <w:rPr>
          <w:rFonts w:ascii="Times New Roman" w:cs="Times New Roman" w:eastAsia="Times New Roman" w:hAnsi="Times New Roman"/>
          <w:sz w:val="24"/>
          <w:szCs w:val="24"/>
        </w:rPr>
        <w:t xml:space="preserve"> with a scale held at 86 T, is withdrawn: its printed field axis is kilo-oersted recorded as tesla, so corrected its fits fail the applicability bound, and independently its exponent is not monotone across the window we quoted, falling from 1.25 at 2 K to 0.82 at 10 K before rising to 12.14 at 35 K. The clearest surviving case is the </w:t>
      </w:r>
      <w:r>
        <w:rPr>
          <w:rFonts w:ascii="Times New Roman" w:cs="Times New Roman" w:eastAsia="Times New Roman" w:hAnsi="Times New Roman"/>
          <w:sz w:val="24"/>
          <w:szCs w:val="24"/>
        </w:rPr>
        <w:t>Ba(Fe,Co)</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As</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 xml:space="preserve"> single crystal of Ref. [40] with a scale held at 4.5 T, whose exponent rises from 0.26 to 0.86 across nine measurement temperatures from 4.2 to 18 K; our audit grades that record weak, sitting 1.3 to 1.7 times above a retrace of its own figure, and we offer it as the best surviving illustration rather than a clean one.</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xml:space="preserve"> Over that range the exponent is measuring the misspecification rather than the pinning physics. Two further departures should be stated. At low reduced temperature the measured temperature dependence of many superconductors is exponential or stretched exponential rather than a power law, because thermal activation of vortices contributes a term the power form cannot represent; and the dominant pinning regime itself changes with field and temperature, so a single exponent per axis describes an average over regimes rather than one mechanism. Equation (2) should therefore be read as an empirical parameterization over a restricted interval, which is what the applicability window of Eq. (1) enforces, and not as a description valid to arbitrarily low temperature. Predictions outside that window, and predictions for compounds whose pinning physics departs from a single-mechanism description, are not supported by the present validation.</w:t>
      </w:r>
    </w:p>
    <w:p>
      <w:pPr>
        <w:spacing w:after="0" w:line="480"/>
        <w:ind w:firstLine="431"/>
        <w:jc w:val="both"/>
      </w:pPr>
      <w:r>
        <w:rPr>
          <w:rFonts w:ascii="Times New Roman" w:cs="Times New Roman" w:eastAsia="Times New Roman" w:hAnsi="Times New Roman"/>
          <w:i/>
          <w:iCs/>
          <w:sz w:val="24"/>
          <w:szCs w:val="24"/>
        </w:rPr>
        <w:t xml:space="preserve">Assumption 2: one dominant mechanism class per family.</w:t>
      </w:r>
      <w:r>
        <w:rPr>
          <w:rFonts w:ascii="Times New Roman" w:cs="Times New Roman" w:eastAsia="Times New Roman" w:hAnsi="Times New Roman"/>
          <w:sz w:val="24"/>
          <w:szCs w:val="24"/>
        </w:rPr>
        <w:t xml:space="preserve"> Each substructure family is assumed to carry a single dominant superconducting mechanism class. This holds well for the three dispatch families, where the literature consensus on the dominant pairing mechanism is settled </w:t>
      </w:r>
      <w:r>
        <w:rPr>
          <w:rFonts w:ascii="Times New Roman" w:cs="Times New Roman" w:eastAsia="Times New Roman" w:hAnsi="Times New Roman"/>
          <w:sz w:val="24"/>
          <w:szCs w:val="24"/>
        </w:rPr>
        <w:t xml:space="preserve">[43, 44]</w:t>
      </w:r>
      <w:r>
        <w:rPr>
          <w:rFonts w:ascii="Times New Roman" w:cs="Times New Roman" w:eastAsia="Times New Roman" w:hAnsi="Times New Roman"/>
          <w:sz w:val="24"/>
          <w:szCs w:val="24"/>
        </w:rPr>
        <w:t xml:space="preserve">. It fails for compounds whose mechanism is contested or whose stoichiometry crosses substructure boundaries; such compounds are excluded by the substructure classifier (Supplemental Material Sec. 3). Any extension to additional families requires verifying that this assumption still applies.</w:t>
      </w:r>
    </w:p>
    <w:p>
      <w:pPr>
        <w:spacing w:after="0" w:line="480"/>
        <w:ind w:firstLine="431"/>
        <w:jc w:val="both"/>
      </w:pPr>
      <w:r>
        <w:rPr>
          <w:rFonts w:ascii="Times New Roman" w:cs="Times New Roman" w:eastAsia="Times New Roman" w:hAnsi="Times New Roman"/>
          <w:i/>
          <w:iCs/>
          <w:sz w:val="24"/>
          <w:szCs w:val="24"/>
        </w:rPr>
        <w:t xml:space="preserve">Assumption 3: the upper-critical-field layer, and what the corpus can supply.</w:t>
      </w:r>
      <w:r>
        <w:rPr>
          <w:rFonts w:ascii="Times New Roman" w:cs="Times New Roman" w:eastAsia="Times New Roman" w:hAnsi="Times New Roman"/>
          <w:sz w:val="24"/>
          <w:szCs w:val="24"/>
        </w:rPr>
        <w:t xml:space="preserve"> This is the sharpest limitation and we state it in full, because it bounds every field-axis result above.</w:t>
      </w:r>
    </w:p>
    <w:p>
      <w:pPr>
        <w:spacing w:after="0" w:line="480"/>
        <w:ind w:firstLine="431"/>
        <w:jc w:val="both"/>
      </w:pPr>
      <w:r>
        <w:rPr>
          <w:rFonts w:ascii="Times New Roman" w:cs="Times New Roman" w:eastAsia="Times New Roman" w:hAnsi="Times New Roman"/>
          <w:sz w:val="24"/>
          <w:szCs w:val="24"/>
        </w:rPr>
        <w:t xml:space="preserve">The upper critical field is the field-axis critical scale in Eq. (2), and unlike the transition temperature it is frequently not reported in the same paper as the critical-current curve. A retrospective dual-model audit of the field-axis cohort found that for eight of sixteen audited papers, both models independently reported that the paper contains no critical-field-versus-temperature figure, while the pipeline held extracted critical-field values for all eight. The pipeline's own provenance notes name, in each case, a figure plotting something else: a critical-current-versus-field curve, a magnetization loop, a pinning-force curve, or a relaxation-rate curve. On such a figure a critical field can appear only as a curve endpoint, which is bounded above by the maximum field the experimenters applied. Across the field-axis cohort the assigned scale barely exceeds the largest field actually measured on the curve it anchors: the median ratio of measured maximum to assigned scale is 0.88, and for 11 of the 52 curves admitted by the stated fitting protocol it exceeds 0.9, against 0.80 and 15 of 94 on the cohort as published, so the exposure rises rather than falls. A scale read from a curve endpoint behaves this way by construction, whereas an independently measured upper critical field would not. Fifty-six of the 77 field-axis curves in the three dispatched families, 73%, take their critical scale from one of those eight papers. Two further defects compound this: the resolution routine returns the nearest series endpoint outside the measured range rather than extrapolating, which underestimates the scale by a median factor of 6.7 across the 38 fits it affects, given that critical fields are measured near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while critical currents are measured near 4 K; and 30 of the 77 assigned scales are either an irreversibility field or unlabeled rather than a confirmed upper critical field. Applying the paper's own applicability criterion against the literature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c2,0</w:t>
      </w:r>
      <w:r>
        <w:rPr>
          <w:rFonts w:ascii="Times New Roman" w:cs="Times New Roman" w:eastAsia="Times New Roman" w:hAnsi="Times New Roman"/>
          <w:sz w:val="24"/>
          <w:szCs w:val="24"/>
        </w:rPr>
        <w:t xml:space="preserve"> instead of the resolved value, 28 of 77 curves qualify where the pipeline admitted 77.</w:t>
      </w:r>
    </w:p>
    <w:p>
      <w:pPr>
        <w:spacing w:after="0" w:line="480"/>
        <w:ind w:firstLine="431"/>
        <w:jc w:val="both"/>
      </w:pPr>
      <w:r>
        <w:rPr>
          <w:rFonts w:ascii="Times New Roman" w:cs="Times New Roman" w:eastAsia="Times New Roman" w:hAnsi="Times New Roman"/>
          <w:sz w:val="24"/>
          <w:szCs w:val="24"/>
        </w:rPr>
        <w:t>We attempted a rebuild of the field-axis exponent against a properly temperature-resolved critical scale and could not complete it, and the reason is a property of the literature rather than of our pipeline. A caption-scoped screen over the retrieval archive, which holds 2594 papers and is the pool from which the 934-article screened corpus was drawn, finds 137 whose figure captions name both a critical field against temperature and a critical current against field, of which 117 are relevant to the three dispatched families. Caption presence is necessary but not sufficient: whether a paper is usable depends on the measured field span, which can only be settled by reading the numbers. Twenty-nine of the candidates, prioritized by family need, were read independently by two vision models and assessed against the paper's own span criterion. Of those 29, four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-class papers pass the span criterion, two iron chalcogenide papers pass with one of them borderline, and no iron pnictide 122-type paper passes; the 122-type candidates fail because the paper reports no critical field of its own, not because the span is narrow. Only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-class clears the three-paper threshold set before the search, and it is the one dispatched family whose field-axis validation was already the least strained. The family that needed the evidence most, iron pnictide 122-type, yielded nothing. We state the scope of this exercise plainly: it establishes that the readily reachable literature does not supply the needed pairing, not that the remaining candidates contain none, and the deposited screen lists every one of them so the search can be continued rather than repeated.</w:t>
      </w:r>
    </w:p>
    <w:p>
      <w:pPr>
        <w:spacing w:after="0" w:line="480"/>
        <w:ind w:firstLine="431"/>
        <w:jc w:val="both"/>
      </w:pPr>
      <w:r>
        <w:rPr>
          <w:rFonts w:ascii="Times New Roman" w:cs="Times New Roman" w:eastAsia="Times New Roman" w:hAnsi="Times New Roman"/>
          <w:sz w:val="24"/>
          <w:szCs w:val="24"/>
        </w:rPr>
        <w:t xml:space="preserve">We also tested whether a group's critical-current paper could be paired with the same group's separate critical-field paper on the same material. Requiring a shared compound and at least two shared author surnames yields zero valid pairs across the corpus. The single author-overlap case links two papers on the same material class but on entirely different specimens. This is itself a finding about the literature, and it is the same finding the paper's thesis predicts: the structure of this literature does not generally support cross-paper record linkage for a process-sensitive property, which is precisely why context-preserving extraction has to operate per paper.</w:t>
      </w:r>
    </w:p>
    <w:p>
      <w:pPr>
        <w:spacing w:after="0" w:line="480"/>
        <w:ind w:firstLine="431"/>
        <w:jc w:val="both"/>
      </w:pPr>
      <w:r>
        <w:rPr>
          <w:rFonts w:ascii="Times New Roman" w:cs="Times New Roman" w:eastAsia="Times New Roman" w:hAnsi="Times New Roman"/>
          <w:sz w:val="24"/>
          <w:szCs w:val="24"/>
        </w:rPr>
        <w:t xml:space="preserve">The consequence for this manuscript is bounded and specific. Field-axis results are reported with their critical-scale implementation labeled, they are not the basis of the universal-scaling result (Sec. III.D) or of the conditioning diagnostic (Sec. III.A), and they do not affect the family-level screening outcome at the evaluated grid (Sec. III.E), which we verified survives removal of the field term. The envelope crossing reported in Sec. III.E is by contrast a property of the fitted field exponents and the critical-field anchors, the two quantities this section qualifies, and it therefore carries that qualification in full: we report it to bound the screening claim, not as a prediction that iron pnictide 122-type overtakes iron chalcogenide 11-type in high field. They no longer carry an applicability validation for any family: the field-axis verdicts this manuscript previously reported for iron pnictide 122-type and </w:t>
      </w:r>
      <w:r>
        <w:rPr>
          <w:rFonts w:ascii="Times New Roman" w:cs="Times New Roman" w:eastAsia="Times New Roman" w:hAnsi="Times New Roman"/>
          <w:sz w:val="24"/>
          <w:szCs w:val="24"/>
        </w:rPr>
        <w:t>MgB</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-class are withdrawn in Section III.C, and Table IV labels the temperature axis alone.</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xml:space="preserve"> Restoring a fully validated field axis requires source measurements that this corpus does not contain, and we report the enumeration above so that a future effort can size the acquisition problem rather than rediscover it.</w:t>
      </w:r>
    </w:p>
    <w:p>
      <w:pPr>
        <w:spacing w:after="0" w:line="480"/>
        <w:ind w:firstLine="431"/>
        <w:jc w:val="both"/>
      </w:pPr>
      <w:r>
        <w:rPr>
          <w:rFonts w:ascii="Times New Roman" w:cs="Times New Roman" w:eastAsia="Times New Roman" w:hAnsi="Times New Roman"/>
          <w:sz w:val="24"/>
          <w:szCs w:val="24"/>
        </w:rPr>
        <w:t xml:space="preserve">Three further field-axis caveats follow from this layer. The extraction records no current direction relative to the crystal axes, so the fits cannot condition on it even though the critical current of an anisotropic conductor depends on it; this is a limitation of the dataset rather than of the form, and it bounds how finely any prediction from this corpus can be interpreted. Field orientation is recorded as free text for 26 records but not propagated into the fits, while several reference anchors are orientation-resolved; for anisotropic materials such as Fe(Te,Se), where reported values differ by more than a factor of two between orientations, the anchor and the measurement are not guaranteed to describe the same configuration. And for the 84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-class candidates inheriting the parent value of 15.5 T, the 20–50% deviation flag propagates directly into the field-axis prediction through the (1 − </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c2,0</w:t>
      </w:r>
      <w:r>
        <w:rPr>
          <w:rFonts w:ascii="Times New Roman" w:cs="Times New Roman" w:eastAsia="Times New Roman" w:hAnsi="Times New Roman"/>
          <w:sz w:val="24"/>
          <w:szCs w:val="24"/>
        </w:rPr>
        <w:t xml:space="preserve">) term.</w:t>
      </w:r>
    </w:p>
    <w:p>
      <w:pPr>
        <w:spacing w:after="0" w:line="480"/>
        <w:ind w:firstLine="431"/>
        <w:jc w:val="both"/>
      </w:pPr>
      <w:r>
        <w:rPr>
          <w:rFonts w:ascii="Times New Roman" w:cs="Times New Roman" w:eastAsia="Times New Roman" w:hAnsi="Times New Roman"/>
          <w:i/>
          <w:iCs/>
          <w:sz w:val="24"/>
          <w:szCs w:val="24"/>
        </w:rPr>
        <w:t xml:space="preserve">Assumption 4: inferential scope is the family, not the compound.</w:t>
      </w:r>
      <w:r>
        <w:rPr>
          <w:rFonts w:ascii="Times New Roman" w:cs="Times New Roman" w:eastAsia="Times New Roman" w:hAnsi="Times New Roman"/>
          <w:sz w:val="24"/>
          <w:szCs w:val="24"/>
        </w:rPr>
        <w:t xml:space="preserve"> As shown in Section III.E, within a family the predictor emits one envelope shared by all member candidates, because the inference procedure of Section II.D introduces no compound-specific information beyond family membership and anchors. The framework therefore cannot distinguish candidates that differ only in composition within the same substructure family, and this is a property of the method rather than a threshold choice. Finer per-compound ranking would require either a substantially larger per-compound dataset or a different methodological approach, most plausibly per-compound microstructural descriptors that are not currently obtainable through literature extraction alone. Readers should not interpret a candidate table as a ranked list.</w:t>
      </w:r>
    </w:p>
    <w:p>
      <w:pPr>
        <w:spacing w:after="0" w:line="480"/>
        <w:ind w:firstLine="431"/>
        <w:jc w:val="both"/>
      </w:pPr>
      <w:r>
        <w:rPr>
          <w:rFonts w:ascii="Times New Roman" w:cs="Times New Roman" w:eastAsia="Times New Roman" w:hAnsi="Times New Roman"/>
          <w:i/>
          <w:iCs/>
          <w:sz w:val="24"/>
          <w:szCs w:val="24"/>
        </w:rPr>
        <w:t xml:space="preserve">Data-layer limitations.</w:t>
      </w:r>
      <w:r>
        <w:rPr>
          <w:rFonts w:ascii="Times New Roman" w:cs="Times New Roman" w:eastAsia="Times New Roman" w:hAnsi="Times New Roman"/>
          <w:sz w:val="24"/>
          <w:szCs w:val="24"/>
        </w:rPr>
        <w:t xml:space="preserve"> The corpus is candidate-driven rather than exhaustive, so coverage is biased toward materials and processing routes most frequently reported in the retrieval venues. Residual digitization and metadata-assignment errors from the vision-language extraction occur at a rate of a few percent; small at cohort level, they can still affect individual fitted exponents, which is why the cross-model agreement gate of Section II.A is part of the method. One archived PDF was found to be a different article from the one its filename indicates, which matters for the data release and has been corrected in the deposit. Finally, the framework has not been validated on the practically deployed conductor materials, YBCO, REBCO, and BSCCO. REBCO in particular does not obey Eq. (2) over the ranges of interest, and the cuprates enter this work two ways: five cuprate papers sit in the fitted cohort, and four out-of-corpus cuprates serve as the external validation set, where they exhibit measurement-window saturation. These materials also carry upper critical fields higher than can be measured directly, so a critical-field anchor for them would itself be an extrapolation rather than a reported quantity, and they show a much stronger dependence on the angle between the applied field and the crystal axes than the families treated here. Extending the framework to them is therefore not a matter of adding data; it requires a functional form appropriate to their pinning behavior and an orientation-resolved treatment that our current extraction does not support.</w:t>
      </w:r>
    </w:p>
    <w:p>
      <w:pPr>
        <w:pStyle w:val="Heading2"/>
        <w:spacing w:after="200" w:before="360"/>
        <w:jc w:val="center"/>
      </w:pPr>
      <w:r>
        <w:rPr>
          <w:rFonts w:ascii="Times New Roman" w:cs="Times New Roman" w:eastAsia="Times New Roman" w:hAnsi="Times New Roman"/>
          <w:b/>
          <w:bCs/>
          <w:color w:val="000000"/>
          <w:sz w:val="24"/>
          <w:szCs w:val="24"/>
        </w:rPr>
        <w:t xml:space="preserve">G. Broader applicability to process-sensitive materials properties</w:t>
      </w:r>
    </w:p>
    <w:p>
      <w:pPr>
        <w:spacing w:after="0" w:line="480"/>
        <w:ind w:firstLine="431"/>
        <w:jc w:val="both"/>
      </w:pPr>
      <w:r>
        <w:rPr>
          <w:rFonts w:ascii="Times New Roman" w:cs="Times New Roman" w:eastAsia="Times New Roman" w:hAnsi="Times New Roman"/>
          <w:sz w:val="24"/>
          <w:szCs w:val="24"/>
        </w:rPr>
        <w:t xml:space="preserve">The principle at work here, knowing which records may be compared before comparing them, is not specific to superconductors. It extends to any property whose measured value reflects how a specimen was made and tested as much as what it is. Critical current density is one such process-sensitive property, depending on composition and crystal structure as well as on mesoscale disorder, sample geometry, and measurement protocol. The same structure appears in rare-earth permanent magnets, where coercivity is set by phase distribution, grain size, grain-boundary chemistry, texture, and domain-wall pinning; a composition-only model merges records corresponding to different magnetic microstructures and processing routes, making the regression target physically ambiguous in the same way unconditioned critical-current regression mixes superconducting chemistry with sample form and field-window effects.</w:t>
      </w:r>
    </w:p>
    <w:p>
      <w:pPr>
        <w:spacing w:after="0" w:line="480"/>
        <w:ind w:firstLine="431"/>
        <w:jc w:val="both"/>
      </w:pPr>
      <w:r>
        <w:rPr>
          <w:rFonts w:ascii="Times New Roman" w:cs="Times New Roman" w:eastAsia="Times New Roman" w:hAnsi="Times New Roman"/>
          <w:sz w:val="24"/>
          <w:szCs w:val="24"/>
        </w:rPr>
        <w:t xml:space="preserve">Battery lifetime prediction has the same scope problem. Lifetime depends on electrode chemistry and cell design as well as cycling protocol, temperature, charge rate, depth of discharge, and aging history, so a lifetime measured under one protocol does not define the same prediction target as one measured under another. The comparison class must be defined before regression. In superconductors this work identifies substructure family and sample form as the required conditioning variables. In magnets the corresponding variables may include grain-boundary chemistry, phase distribution, and heat treatment; in batteries, cycling protocol, thermal history, and cell format. In each case the same variance-decomposition diagnostic can determine which conditioning structure regression requires.</w:t>
      </w:r>
    </w:p>
    <w:p>
      <w:pPr>
        <w:spacing w:after="0" w:line="480"/>
        <w:ind w:firstLine="431"/>
        <w:jc w:val="both"/>
      </w:pPr>
      <w:r>
        <w:rPr>
          <w:rFonts w:ascii="Times New Roman" w:cs="Times New Roman" w:eastAsia="Times New Roman" w:hAnsi="Times New Roman"/>
          <w:sz w:val="24"/>
          <w:szCs w:val="24"/>
        </w:rPr>
        <w:t xml:space="preserve">There is a second transferable lesson, and it concerns the critical scales themselves. A conditioning framework of this kind requires reference quantities against which measurements are normalized, and those reference quantities have provenance too. In this work the transition temperature is reported alongside nearly every critical-current curve, while the upper critical field usually is not, and the difference between the two axes reported throughout Section III is a direct consequence. Any application of this approach should ask, before fitting, whether the normalizing scale is measured on the same specimen as the property being normalized. Where it is not, the resulting exponent describes the mismatch as much as the physics. This is the paper's own principle applied one level down, and applying it is what produced the limitations enumerated in Section III.F.</w:t>
      </w:r>
    </w:p>
    <w:p>
      <w:pPr>
        <w:pStyle w:val="Heading1"/>
        <w:spacing w:after="240" w:before="480"/>
        <w:jc w:val="center"/>
      </w:pPr>
      <w:r>
        <w:rPr>
          <w:rFonts w:ascii="Times New Roman" w:cs="Times New Roman" w:eastAsia="Times New Roman" w:hAnsi="Times New Roman"/>
          <w:b/>
          <w:bCs/>
          <w:color w:val="000000"/>
          <w:sz w:val="24"/>
          <w:szCs w:val="24"/>
        </w:rPr>
        <w:t xml:space="preserve">IV. CONCLUSION</w:t>
      </w:r>
    </w:p>
    <w:p>
      <w:pPr>
        <w:spacing w:after="0" w:line="480"/>
        <w:ind w:firstLine="431"/>
        <w:jc w:val="both"/>
      </w:pPr>
      <w:r>
        <w:rPr>
          <w:rFonts w:ascii="Times New Roman" w:cs="Times New Roman" w:eastAsia="Times New Roman" w:hAnsi="Times New Roman"/>
          <w:sz w:val="24"/>
          <w:szCs w:val="24"/>
        </w:rPr>
        <w:t>We presented a framework for predicting superconducting critical current density from heterogeneous literature, built on substructure-family and sample-form conditioning rather than universal cross-compound scaling. A variance-decomposition diagnostic asks, family by family, whether sample-form conditioning is required, and assigns two distinct regimes across the studied families which set the predictor's conditioning rule without being established as a tested distinction, and explicit refusal gates prevent predictions outside the window over which the exponents were calibrated. Universal reduced-variable scaling reduces the within-bin scatter by only 13.0% on the standard-deviation scale and 24.3% on the variance scale, with the standard-deviation-scale result insensitive to a 35% perturbation of the estimated critical fields and the variance-scale result marginal under that test. Two direct tests point the same way: the reduced coordinates carry no more structure than the same grid rotated to a random angle, and unnormalized temperature and applied field organize the same records better by isolating compounds. Conditioning by substructure reduces the cross-family field-exponent error by at most about two-fold under leave-one-substructure-out validation, and by less on some cohorts. The framework emits family-scope critical-current envelopes with calibrated uncertainty for three substructure families, together with an explicit refusal decision for each of 183 candidate compounds and each prediction target, of which 84 compounds receive at least one dispatched target. The validation behind that scope is graded and we state it as such: three families clear the compound leave-one-out threshold on the temperature axis, no family-level verdict is reported on the field axis, and the one family that dispatches is not assessable on the temperature axis.</w:t>
      </w:r>
    </w:p>
    <w:p>
      <w:pPr>
        <w:spacing w:after="0" w:line="480"/>
        <w:ind w:firstLine="431"/>
        <w:jc w:val="both"/>
      </w:pPr>
      <w:r>
        <w:rPr>
          <w:rFonts w:ascii="Times New Roman" w:cs="Times New Roman" w:eastAsia="Times New Roman" w:hAnsi="Times New Roman"/>
          <w:sz w:val="24"/>
          <w:szCs w:val="24"/>
        </w:rPr>
        <w:t xml:space="preserve">Two results deserve emphasis for what they say about literature-derived modeling generally. First, within a family the emitted envelope is a single curve shared by all member candidates, so the output is a scope decision plus a family envelope rather than a compound ranking; this is a structural property of a conditioned predictor and not a threshold choice, and stating it precisely is what separates a screening tool from an overclaimed one. Second, the reference scales against which measurements are normalized carry provenance of their own, and applying this paper's own comparability principle to the upper-critical-field layer is what produced the bounds reported in Section III.F, including the finding that among the candidates reachable and testable in this corpus, none in the iron pnictide 122-type family reports a critical-field measurement of its own alongside a critical-current curve. The core principle, establishing which measurements can be compared before comparing them, applies to other process-sensitive properties influenced by preparation method, sample geometry, or measurement protocol. The framework shows how AI-driven models can convert variability in published data, usually treated as noise, into identifiable physical signal </w:t>
      </w:r>
      <w:r>
        <w:rPr>
          <w:rFonts w:ascii="Times New Roman" w:cs="Times New Roman" w:eastAsia="Times New Roman" w:hAnsi="Times New Roman"/>
          <w:sz w:val="24"/>
          <w:szCs w:val="24"/>
        </w:rPr>
        <w:t xml:space="preserve">[45]</w:t>
      </w:r>
      <w:r>
        <w:rPr>
          <w:rFonts w:ascii="Times New Roman" w:cs="Times New Roman" w:eastAsia="Times New Roman" w:hAnsi="Times New Roman"/>
          <w:sz w:val="24"/>
          <w:szCs w:val="24"/>
        </w:rPr>
        <w:t xml:space="preserve">, provided the conditioning variables are determined by direct empirical testing and the normalizing scales are held to the same standard.</w:t>
      </w:r>
    </w:p>
    <w:p>
      <w:pPr>
        <w:pStyle w:val="Heading1"/>
        <w:spacing w:after="240" w:before="480"/>
        <w:jc w:val="center"/>
      </w:pPr>
      <w:r>
        <w:rPr>
          <w:rFonts w:ascii="Times New Roman" w:cs="Times New Roman" w:eastAsia="Times New Roman" w:hAnsi="Times New Roman"/>
          <w:b/>
          <w:bCs/>
          <w:color w:val="000000"/>
          <w:sz w:val="24"/>
          <w:szCs w:val="24"/>
        </w:rPr>
        <w:t xml:space="preserve">ARTIFICIAL INTELLIGENCE USE DISCLOSURE</w:t>
      </w:r>
    </w:p>
    <w:p>
      <w:pPr>
        <w:spacing w:after="0" w:line="480"/>
        <w:ind w:firstLine="431"/>
        <w:jc w:val="both"/>
      </w:pPr>
      <w:r>
        <w:rPr>
          <w:rFonts w:ascii="Times New Roman" w:cs="Times New Roman" w:eastAsia="Times New Roman" w:hAnsi="Times New Roman"/>
          <w:sz w:val="24"/>
          <w:szCs w:val="24"/>
        </w:rPr>
        <w:t xml:space="preserve">Consistent with APS policy on the use of artificial intelligence tools, we describe the role of AI in this work. Vision-language models were used as plot-reading assistants in a two-tier arrangement. Curve-level extraction was performed independently by two models from different developers, Claude Opus 4.8 (Anthropic) </w:t>
      </w:r>
      <w:r>
        <w:rPr>
          <w:rFonts w:ascii="Times New Roman" w:cs="Times New Roman" w:eastAsia="Times New Roman" w:hAnsi="Times New Roman"/>
          <w:sz w:val="24"/>
          <w:szCs w:val="24"/>
        </w:rPr>
        <w:t xml:space="preserve">[36]</w:t>
      </w:r>
      <w:r>
        <w:rPr>
          <w:rFonts w:ascii="Times New Roman" w:cs="Times New Roman" w:eastAsia="Times New Roman" w:hAnsi="Times New Roman"/>
          <w:sz w:val="24"/>
          <w:szCs w:val="24"/>
        </w:rPr>
        <w:t xml:space="preserve"> and GPT-4o (OpenAI) </w:t>
      </w:r>
      <w:r>
        <w:rPr>
          <w:rFonts w:ascii="Times New Roman" w:cs="Times New Roman" w:eastAsia="Times New Roman" w:hAnsi="Times New Roman"/>
          <w:sz w:val="24"/>
          <w:szCs w:val="24"/>
        </w:rPr>
        <w:t xml:space="preserve">[27, 28]</w:t>
      </w:r>
      <w:r>
        <w:rPr>
          <w:rFonts w:ascii="Times New Roman" w:cs="Times New Roman" w:eastAsia="Times New Roman" w:hAnsi="Times New Roman"/>
          <w:sz w:val="24"/>
          <w:szCs w:val="24"/>
        </w:rPr>
        <w:t xml:space="preserve">, with a value entering the dataset only where the two agreed. The retrospective verification audit described in Section II.A was then run by a later model generation from one of those developers, Claude Opus 5 and Claude Sonnet 5 (Anthropic) </w:t>
      </w:r>
      <w:r>
        <w:rPr>
          <w:rFonts w:ascii="Times New Roman" w:cs="Times New Roman" w:eastAsia="Times New Roman" w:hAnsi="Times New Roman"/>
          <w:sz w:val="24"/>
          <w:szCs w:val="24"/>
        </w:rPr>
        <w:t xml:space="preserve">[36]</w:t>
      </w:r>
      <w:r>
        <w:rPr>
          <w:rFonts w:ascii="Times New Roman" w:cs="Times New Roman" w:eastAsia="Times New Roman" w:hAnsi="Times New Roman"/>
          <w:sz w:val="24"/>
          <w:szCs w:val="24"/>
        </w:rPr>
        <w:t xml:space="preserve">, accessed through the Anthropic Messages API between May and August 2026. The independence at the extraction tier is therefore across developers, and the audit tier adds a generational rather than a cross-developer check; we state the distinction because the audit is what surfaced the critical-field provenance finding of Section III.F and its strength should not be overstated. Their function was limited to locating axes and scales in published figures, digitizing data-point coordinates, and reading printed axis labels and captions. They were directed by fixed task-specific prompts, issued per figure and per paper, that named the target quantity, required the axis units to be read from the printed label rather than inferred, and stated that “no such data in this paper” is a correct and expected answer; the prompts are deposited with the data. They performed no fitting, aggregation, validation, or prediction; all such steps are deterministic Python code reproducible from the extracted data under fixed random seeds.</w:t>
      </w:r>
    </w:p>
    <w:p>
      <w:pPr>
        <w:spacing w:after="0" w:line="480"/>
        <w:ind w:firstLine="431"/>
        <w:jc w:val="both"/>
      </w:pPr>
      <w:r>
        <w:rPr>
          <w:rFonts w:ascii="Times New Roman" w:cs="Times New Roman" w:eastAsia="Times New Roman" w:hAnsi="Times New Roman"/>
          <w:sz w:val="24"/>
          <w:szCs w:val="24"/>
        </w:rPr>
        <w:t>Extraction outputs were verified in three ways. First, a cross-model agreement gate at the extraction tier: every figure was read independently by the two extraction models, prompted separately, with an explicit instruction that "no such data in this paper" is a correct answer, and a value entered the dataset only where both agreed. Second, manual verification by the authors against the source figures for all 23 fully fittable compounds of the pre-withdrawal cohort, and for every disagreement escalated by the agreement gate. Third, physicality constraints on the fitted exponents for the partial-fit records. The critical-field provenance finding reported in Section III.F was produced by this verification process, not discovered after publication, and we report it here for that reason.</w:t>
      </w:r>
    </w:p>
    <w:p>
      <w:pPr>
        <w:spacing w:after="0" w:line="480"/>
        <w:ind w:firstLine="431"/>
        <w:jc w:val="both"/>
      </w:pPr>
      <w:r>
        <w:rPr>
          <w:rFonts w:ascii="Times New Roman" w:cs="Times New Roman" w:eastAsia="Times New Roman" w:hAnsi="Times New Roman"/>
          <w:sz w:val="24"/>
          <w:szCs w:val="24"/>
        </w:rPr>
        <w:t xml:space="preserve">Large language models were also used for organizational assistance in structuring analysis scripts and for editorial review of manuscript prose. No text in this manuscript was generated by an AI system without author review and revision, and the authors take full responsibility for all content, analysis, and conclusions.</w:t>
      </w:r>
    </w:p>
    <w:p>
      <w:pPr>
        <w:pStyle w:val="Heading1"/>
        <w:spacing w:after="240" w:before="480"/>
        <w:jc w:val="center"/>
      </w:pPr>
      <w:r>
        <w:rPr>
          <w:rFonts w:ascii="Times New Roman" w:cs="Times New Roman" w:eastAsia="Times New Roman" w:hAnsi="Times New Roman"/>
          <w:b/>
          <w:bCs/>
          <w:color w:val="000000"/>
          <w:sz w:val="24"/>
          <w:szCs w:val="24"/>
        </w:rPr>
        <w:t xml:space="preserve">ACKNOWLEDGMENTS</w:t>
      </w:r>
    </w:p>
    <w:p>
      <w:pPr>
        <w:spacing w:after="0" w:line="480"/>
        <w:ind w:firstLine="431"/>
        <w:jc w:val="both"/>
      </w:pPr>
      <w:r>
        <w:rPr>
          <w:rFonts w:ascii="Times New Roman" w:cs="Times New Roman" w:eastAsia="Times New Roman" w:hAnsi="Times New Roman"/>
          <w:sz w:val="24"/>
          <w:szCs w:val="24"/>
        </w:rPr>
        <w:t xml:space="preserve">The authors acknowledge UCLA library services for access to the literature and the Materials Project, 3DSC_MP, and SuperCon database teams for open access to the structural and superconductivity records used in this work. The authors also acknowledge illuminating discussions with Alexander Balandin and Aashman Mehta. We thank the two anonymous referees, whose questions about the field-axis physics and the effective dataset size led directly to the audit reported in Section III.F.</w:t>
      </w:r>
    </w:p>
    <w:p>
      <w:pPr>
        <w:pStyle w:val="Heading1"/>
        <w:spacing w:after="240" w:before="480"/>
        <w:jc w:val="center"/>
      </w:pPr>
      <w:r>
        <w:rPr>
          <w:rFonts w:ascii="Times New Roman" w:cs="Times New Roman" w:eastAsia="Times New Roman" w:hAnsi="Times New Roman"/>
          <w:b/>
          <w:bCs/>
          <w:color w:val="000000"/>
          <w:sz w:val="24"/>
          <w:szCs w:val="24"/>
        </w:rPr>
        <w:t xml:space="preserve">DATA AVAILABILITY</w:t>
      </w:r>
    </w:p>
    <w:p>
      <w:pPr>
        <w:spacing w:after="0" w:line="480"/>
        <w:ind w:firstLine="431"/>
        <w:jc w:val="both"/>
      </w:pPr>
      <w:r>
        <w:rPr>
          <w:rFonts w:ascii="Times New Roman" w:cs="Times New Roman" w:eastAsia="Times New Roman" w:hAnsi="Times New Roman"/>
          <w:sz w:val="24"/>
          <w:szCs w:val="24"/>
        </w:rPr>
        <w:t xml:space="preserve">The extracted critical-current dataset is publicly available at https://github.com/prachetpoddar/HT10016-critical-current-prediction. It includes curve-level metadata, fitted exponents, anchor values with their provenance tier, substructure labels, sample-form labels, validation splits, refusal flags, and candidate-prediction tables. Anchor records carry the provenance tier of Section II.B, distinguishing paper-reported, literature-cited, registry, and estimated values, and critical-field records carry the source-figure identifier from which each value was read together with the figure type. Magnetic-field values are deposited after the unit correction of Section II.A, with the correction log included so that the original and corrected values can be compared. Cross-model agreement reports from the verification procedure of Section II.A are deposited alongside the extraction, including the disagreement cases and their manual resolutions. Section 15 of the Supplemental Material reproduces excerpt rows from the anchor file, the field-axis fit file, and the candidate dispatch file, so that the schema, the provenance labels, and the refusal accounting can be read without retrieving the deposit.</w:t>
      </w:r>
    </w:p>
    <w:p>
      <w:pPr>
        <w:spacing w:after="0" w:line="480"/>
        <w:ind w:firstLine="431"/>
        <w:jc w:val="both"/>
      </w:pPr>
      <w:r>
        <w:rPr>
          <w:rFonts w:ascii="Times New Roman" w:cs="Times New Roman" w:eastAsia="Times New Roman" w:hAnsi="Times New Roman"/>
          <w:sz w:val="24"/>
          <w:szCs w:val="24"/>
        </w:rPr>
        <w:t>The repository will also contain scripts for fittability filtering, exponent fitting, substructure and sample-form conditioned aggregation, bootstrap uncertainty estimation, validation, and figure generation, together with the two implementations of the field-axis critical scale described in Section II.C, so that results reported through each path can be reproduced independently. The corpus enumeration behind Section III.F is deposited as a per-paper table recording, for each of the 2594 papers in the archive, whether a critical-field-versus-temperature caption and a critical-current-versus-field caption were detected, together with the 29 candidates that were read and span-tested.</w:t>
      </w:r>
    </w:p>
    <w:p>
      <w:pPr>
        <w:spacing w:after="0" w:line="480"/>
        <w:ind w:firstLine="431"/>
        <w:jc w:val="both"/>
      </w:pPr>
      <w:r>
        <w:rPr>
          <w:rFonts w:ascii="Times New Roman" w:cs="Times New Roman" w:eastAsia="Times New Roman" w:hAnsi="Times New Roman"/>
          <w:sz w:val="24"/>
          <w:szCs w:val="24"/>
        </w:rPr>
        <w:t xml:space="preserve">Source journal articles are not redistributed, being subject to publisher copyright; the repository provides article identifiers, metadata, extraction provenance, and links to sources where available, including the correction to the one archived file whose contents did not match its filename. Materials Project and 3DSC_MP-derived fields are reported with their database identifiers so that structural and compositional descriptors can be regenerated under the terms of the original databases. An archived snapshot with a permanent digital object identifier will be deposited before publication and the identifier added here.</w:t>
      </w:r>
    </w:p>
    <w:p>
      <w:pPr>
        <w:pStyle w:val="Heading1"/>
        <w:spacing w:after="240" w:before="480"/>
        <w:jc w:val="center"/>
      </w:pPr>
      <w:r>
        <w:rPr>
          <w:rFonts w:ascii="Times New Roman" w:cs="Times New Roman" w:eastAsia="Times New Roman" w:hAnsi="Times New Roman"/>
          <w:b/>
          <w:bCs/>
          <w:color w:val="000000"/>
          <w:sz w:val="24"/>
          <w:szCs w:val="24"/>
        </w:rPr>
        <w:t xml:space="preserve">REFERENCES</w:t>
      </w:r>
    </w:p>
    <w:p>
      <w:pPr>
        <w:spacing w:after="120" w:line="240"/>
        <w:ind w:left="431" w:hanging="431"/>
      </w:pPr>
      <w:r>
        <w:rPr>
          <w:rFonts w:ascii="Times New Roman" w:cs="Times New Roman" w:eastAsia="Times New Roman" w:hAnsi="Times New Roman"/>
          <w:sz w:val="22"/>
          <w:szCs w:val="22"/>
        </w:rPr>
        <w:t xml:space="preserve">[1]</w:t>
      </w:r>
      <w:r>
        <w:rPr>
          <w:rFonts w:ascii="Times New Roman" w:cs="Times New Roman" w:eastAsia="Times New Roman" w:hAnsi="Times New Roman"/>
          <w:sz w:val="22"/>
          <w:szCs w:val="22"/>
        </w:rPr>
        <w:t xml:space="preserve"> T. Xie and J. C. Grossman, Crystal graph convolutional neural networks for an accurate and interpretable prediction of material properties, </w:t>
      </w:r>
      <w:r>
        <w:rPr>
          <w:rFonts w:ascii="Times New Roman" w:cs="Times New Roman" w:eastAsia="Times New Roman" w:hAnsi="Times New Roman"/>
          <w:i/>
          <w:iCs/>
          <w:sz w:val="22"/>
          <w:szCs w:val="22"/>
        </w:rPr>
        <w:t xml:space="preserve">Phys. Rev. Lett.</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120</w:t>
      </w:r>
      <w:r>
        <w:rPr>
          <w:rFonts w:ascii="Times New Roman" w:cs="Times New Roman" w:eastAsia="Times New Roman" w:hAnsi="Times New Roman"/>
          <w:sz w:val="22"/>
          <w:szCs w:val="22"/>
        </w:rPr>
        <w:t xml:space="preserve">, 145301 (2018).</w:t>
      </w:r>
    </w:p>
    <w:p>
      <w:pPr>
        <w:spacing w:after="120" w:line="240"/>
        <w:ind w:left="431" w:hanging="431"/>
      </w:pPr>
      <w:r>
        <w:rPr>
          <w:rFonts w:ascii="Times New Roman" w:cs="Times New Roman" w:eastAsia="Times New Roman" w:hAnsi="Times New Roman"/>
          <w:sz w:val="22"/>
          <w:szCs w:val="22"/>
        </w:rPr>
        <w:t xml:space="preserve">[2]</w:t>
      </w:r>
      <w:r>
        <w:rPr>
          <w:rFonts w:ascii="Times New Roman" w:cs="Times New Roman" w:eastAsia="Times New Roman" w:hAnsi="Times New Roman"/>
          <w:sz w:val="22"/>
          <w:szCs w:val="22"/>
        </w:rPr>
        <w:t xml:space="preserve"> C. Chen, W. Ye, Y. Zuo, C. Zheng, and S. P. Ong, Graph networks as a universal machine learning framework for molecules and crystals, </w:t>
      </w:r>
      <w:r>
        <w:rPr>
          <w:rFonts w:ascii="Times New Roman" w:cs="Times New Roman" w:eastAsia="Times New Roman" w:hAnsi="Times New Roman"/>
          <w:i/>
          <w:iCs/>
          <w:sz w:val="22"/>
          <w:szCs w:val="22"/>
        </w:rPr>
        <w:t xml:space="preserve">Chem. Mater.</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31</w:t>
      </w:r>
      <w:r>
        <w:rPr>
          <w:rFonts w:ascii="Times New Roman" w:cs="Times New Roman" w:eastAsia="Times New Roman" w:hAnsi="Times New Roman"/>
          <w:sz w:val="22"/>
          <w:szCs w:val="22"/>
        </w:rPr>
        <w:t xml:space="preserve">, 3564 (2019).</w:t>
      </w:r>
    </w:p>
    <w:p>
      <w:pPr>
        <w:spacing w:after="120" w:line="240"/>
        <w:ind w:left="431" w:hanging="431"/>
      </w:pPr>
      <w:r>
        <w:rPr>
          <w:rFonts w:ascii="Times New Roman" w:cs="Times New Roman" w:eastAsia="Times New Roman" w:hAnsi="Times New Roman"/>
          <w:sz w:val="22"/>
          <w:szCs w:val="22"/>
        </w:rPr>
        <w:t xml:space="preserve">[3]</w:t>
      </w:r>
      <w:r>
        <w:rPr>
          <w:rFonts w:ascii="Times New Roman" w:cs="Times New Roman" w:eastAsia="Times New Roman" w:hAnsi="Times New Roman"/>
          <w:sz w:val="22"/>
          <w:szCs w:val="22"/>
        </w:rPr>
        <w:t xml:space="preserve"> A. Jain, S. P. Ong, G. Hautier, W. Chen, W. D. Richards, S. Dacek, S. Cholia, D. Gunter, D. Skinner, G. Ceder, and K. A. Persson, The Materials Project: A materials genome approach to accelerating materials innovation, </w:t>
      </w:r>
      <w:r>
        <w:rPr>
          <w:rFonts w:ascii="Times New Roman" w:cs="Times New Roman" w:eastAsia="Times New Roman" w:hAnsi="Times New Roman"/>
          <w:i/>
          <w:iCs/>
          <w:sz w:val="22"/>
          <w:szCs w:val="22"/>
        </w:rPr>
        <w:t xml:space="preserve">APL Mater.</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w:t>
      </w:r>
      <w:r>
        <w:rPr>
          <w:rFonts w:ascii="Times New Roman" w:cs="Times New Roman" w:eastAsia="Times New Roman" w:hAnsi="Times New Roman"/>
          <w:sz w:val="22"/>
          <w:szCs w:val="22"/>
        </w:rPr>
        <w:t xml:space="preserve">, 011002 (2013).</w:t>
      </w:r>
    </w:p>
    <w:p>
      <w:pPr>
        <w:spacing w:after="120" w:line="240"/>
        <w:ind w:left="431" w:hanging="431"/>
      </w:pPr>
      <w:r>
        <w:rPr>
          <w:rFonts w:ascii="Times New Roman" w:cs="Times New Roman" w:eastAsia="Times New Roman" w:hAnsi="Times New Roman"/>
          <w:sz w:val="22"/>
          <w:szCs w:val="22"/>
        </w:rPr>
        <w:t xml:space="preserve">[4]</w:t>
      </w:r>
      <w:r>
        <w:rPr>
          <w:rFonts w:ascii="Times New Roman" w:cs="Times New Roman" w:eastAsia="Times New Roman" w:hAnsi="Times New Roman"/>
          <w:sz w:val="22"/>
          <w:szCs w:val="22"/>
        </w:rPr>
        <w:t xml:space="preserve"> L. Ward, A. Agrawal, A. Choudhary, and C. Wolverton, A general-purpose machine learning framework for predicting properties of inorganic materials, </w:t>
      </w:r>
      <w:r>
        <w:rPr>
          <w:rFonts w:ascii="Times New Roman" w:cs="Times New Roman" w:eastAsia="Times New Roman" w:hAnsi="Times New Roman"/>
          <w:i/>
          <w:iCs/>
          <w:sz w:val="22"/>
          <w:szCs w:val="22"/>
        </w:rPr>
        <w:t xml:space="preserve">npj Comput. Mater.</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2</w:t>
      </w:r>
      <w:r>
        <w:rPr>
          <w:rFonts w:ascii="Times New Roman" w:cs="Times New Roman" w:eastAsia="Times New Roman" w:hAnsi="Times New Roman"/>
          <w:sz w:val="22"/>
          <w:szCs w:val="22"/>
        </w:rPr>
        <w:t xml:space="preserve">, 16028 (2016).</w:t>
      </w:r>
    </w:p>
    <w:p>
      <w:pPr>
        <w:spacing w:after="120" w:line="240"/>
        <w:ind w:left="431" w:hanging="431"/>
      </w:pPr>
      <w:r>
        <w:rPr>
          <w:rFonts w:ascii="Times New Roman" w:cs="Times New Roman" w:eastAsia="Times New Roman" w:hAnsi="Times New Roman"/>
          <w:sz w:val="22"/>
          <w:szCs w:val="22"/>
        </w:rPr>
        <w:t xml:space="preserve">[5]</w:t>
      </w:r>
      <w:r>
        <w:rPr>
          <w:rFonts w:ascii="Times New Roman" w:cs="Times New Roman" w:eastAsia="Times New Roman" w:hAnsi="Times New Roman"/>
          <w:sz w:val="22"/>
          <w:szCs w:val="22"/>
        </w:rPr>
        <w:t xml:space="preserve"> V. Stanev, C. Oses, A. G. Kusne, E. Rodriguez, J. Paglione, S. Curtarolo, and I. Takeuchi, Machine learning modeling of superconducting critical temperature, </w:t>
      </w:r>
      <w:r>
        <w:rPr>
          <w:rFonts w:ascii="Times New Roman" w:cs="Times New Roman" w:eastAsia="Times New Roman" w:hAnsi="Times New Roman"/>
          <w:i/>
          <w:iCs/>
          <w:sz w:val="22"/>
          <w:szCs w:val="22"/>
        </w:rPr>
        <w:t xml:space="preserve">npj Comput. Mater.</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4</w:t>
      </w:r>
      <w:r>
        <w:rPr>
          <w:rFonts w:ascii="Times New Roman" w:cs="Times New Roman" w:eastAsia="Times New Roman" w:hAnsi="Times New Roman"/>
          <w:sz w:val="22"/>
          <w:szCs w:val="22"/>
        </w:rPr>
        <w:t xml:space="preserve">, 29 (2018).</w:t>
      </w:r>
    </w:p>
    <w:p>
      <w:pPr>
        <w:spacing w:after="120" w:line="240"/>
        <w:ind w:left="431" w:hanging="431"/>
      </w:pPr>
      <w:r>
        <w:rPr>
          <w:rFonts w:ascii="Times New Roman" w:cs="Times New Roman" w:eastAsia="Times New Roman" w:hAnsi="Times New Roman"/>
          <w:sz w:val="22"/>
          <w:szCs w:val="22"/>
        </w:rPr>
        <w:t xml:space="preserve">[6]</w:t>
      </w:r>
      <w:r>
        <w:rPr>
          <w:rFonts w:ascii="Times New Roman" w:cs="Times New Roman" w:eastAsia="Times New Roman" w:hAnsi="Times New Roman"/>
          <w:sz w:val="22"/>
          <w:szCs w:val="22"/>
        </w:rPr>
        <w:t xml:space="preserve"> T. Sommer, R. Willa, J. Schmalian, and P. Friederich, 3DSC–a dataset of superconductors including crystal structures, </w:t>
      </w:r>
      <w:r>
        <w:rPr>
          <w:rFonts w:ascii="Times New Roman" w:cs="Times New Roman" w:eastAsia="Times New Roman" w:hAnsi="Times New Roman"/>
          <w:i/>
          <w:iCs/>
          <w:sz w:val="22"/>
          <w:szCs w:val="22"/>
        </w:rPr>
        <w:t xml:space="preserve">Sci. Data</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10</w:t>
      </w:r>
      <w:r>
        <w:rPr>
          <w:rFonts w:ascii="Times New Roman" w:cs="Times New Roman" w:eastAsia="Times New Roman" w:hAnsi="Times New Roman"/>
          <w:sz w:val="22"/>
          <w:szCs w:val="22"/>
        </w:rPr>
        <w:t xml:space="preserve">, 816 (2023).</w:t>
      </w:r>
    </w:p>
    <w:p>
      <w:pPr>
        <w:spacing w:after="120" w:line="240"/>
        <w:ind w:left="431" w:hanging="431"/>
      </w:pPr>
      <w:r>
        <w:rPr>
          <w:rFonts w:ascii="Times New Roman" w:cs="Times New Roman" w:eastAsia="Times New Roman" w:hAnsi="Times New Roman"/>
          <w:sz w:val="22"/>
          <w:szCs w:val="22"/>
        </w:rPr>
        <w:t xml:space="preserve">[7]</w:t>
      </w:r>
      <w:r>
        <w:rPr>
          <w:rFonts w:ascii="Times New Roman" w:cs="Times New Roman" w:eastAsia="Times New Roman" w:hAnsi="Times New Roman"/>
          <w:sz w:val="22"/>
          <w:szCs w:val="22"/>
        </w:rPr>
        <w:t xml:space="preserve"> K. Hamidieh, A data-driven statistical model for predicting the critical temperature of a superconductor, </w:t>
      </w:r>
      <w:r>
        <w:rPr>
          <w:rFonts w:ascii="Times New Roman" w:cs="Times New Roman" w:eastAsia="Times New Roman" w:hAnsi="Times New Roman"/>
          <w:i/>
          <w:iCs/>
          <w:sz w:val="22"/>
          <w:szCs w:val="22"/>
        </w:rPr>
        <w:t xml:space="preserve">Comput. Mater. Sci.</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154</w:t>
      </w:r>
      <w:r>
        <w:rPr>
          <w:rFonts w:ascii="Times New Roman" w:cs="Times New Roman" w:eastAsia="Times New Roman" w:hAnsi="Times New Roman"/>
          <w:sz w:val="22"/>
          <w:szCs w:val="22"/>
        </w:rPr>
        <w:t xml:space="preserve">, 346 (2018).</w:t>
      </w:r>
    </w:p>
    <w:p>
      <w:pPr>
        <w:spacing w:after="120" w:line="240"/>
        <w:ind w:left="431" w:hanging="431"/>
      </w:pPr>
      <w:r>
        <w:rPr>
          <w:rFonts w:ascii="Times New Roman" w:cs="Times New Roman" w:eastAsia="Times New Roman" w:hAnsi="Times New Roman"/>
          <w:sz w:val="22"/>
          <w:szCs w:val="22"/>
        </w:rPr>
        <w:t xml:space="preserve">[8]</w:t>
      </w:r>
      <w:r>
        <w:rPr>
          <w:rFonts w:ascii="Times New Roman" w:cs="Times New Roman" w:eastAsia="Times New Roman" w:hAnsi="Times New Roman"/>
          <w:sz w:val="22"/>
          <w:szCs w:val="22"/>
        </w:rPr>
        <w:t xml:space="preserve"> T. Konno, H. Kurokawa, F. Nabeshima, Y. Sakishita, R. Ogawa, I. Hosako, and A. Maeda, Deep learning model for finding new superconductors, </w:t>
      </w:r>
      <w:r>
        <w:rPr>
          <w:rFonts w:ascii="Times New Roman" w:cs="Times New Roman" w:eastAsia="Times New Roman" w:hAnsi="Times New Roman"/>
          <w:i/>
          <w:iCs/>
          <w:sz w:val="22"/>
          <w:szCs w:val="22"/>
        </w:rPr>
        <w:t xml:space="preserve">Phys. Rev. B</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103</w:t>
      </w:r>
      <w:r>
        <w:rPr>
          <w:rFonts w:ascii="Times New Roman" w:cs="Times New Roman" w:eastAsia="Times New Roman" w:hAnsi="Times New Roman"/>
          <w:sz w:val="22"/>
          <w:szCs w:val="22"/>
        </w:rPr>
        <w:t xml:space="preserve">, 014509 (2021).</w:t>
      </w:r>
    </w:p>
    <w:p>
      <w:pPr>
        <w:spacing w:after="120" w:line="240"/>
        <w:ind w:left="431" w:hanging="431"/>
      </w:pPr>
      <w:r>
        <w:rPr>
          <w:rFonts w:ascii="Times New Roman" w:cs="Times New Roman" w:eastAsia="Times New Roman" w:hAnsi="Times New Roman"/>
          <w:sz w:val="22"/>
          <w:szCs w:val="22"/>
        </w:rPr>
        <w:t xml:space="preserve">[9]</w:t>
      </w:r>
      <w:r>
        <w:rPr>
          <w:rFonts w:ascii="Times New Roman" w:cs="Times New Roman" w:eastAsia="Times New Roman" w:hAnsi="Times New Roman"/>
          <w:sz w:val="22"/>
          <w:szCs w:val="22"/>
        </w:rPr>
        <w:t xml:space="preserve"> D. Larbalestier, A. Gurevich, D. M. Feldmann, and A. Polyanskii, High-</w:t>
      </w:r>
      <w:r>
        <w:rPr>
          <w:rFonts w:ascii="Times New Roman" w:cs="Times New Roman" w:eastAsia="Times New Roman" w:hAnsi="Times New Roman"/>
          <w:i/>
          <w:iCs/>
          <w:sz w:val="22"/>
          <w:szCs w:val="22"/>
        </w:rPr>
        <w:t xml:space="preserve">T</w:t>
      </w:r>
      <w:r>
        <w:rPr>
          <w:rFonts w:ascii="Times New Roman" w:cs="Times New Roman" w:eastAsia="Times New Roman" w:hAnsi="Times New Roman"/>
          <w:i w:val="false"/>
          <w:iCs w:val="false"/>
          <w:sz w:val="22"/>
          <w:szCs w:val="22"/>
          <w:vertAlign w:val="subscript"/>
        </w:rPr>
        <w:t xml:space="preserve">c</w:t>
      </w:r>
      <w:r>
        <w:rPr>
          <w:rFonts w:ascii="Times New Roman" w:cs="Times New Roman" w:eastAsia="Times New Roman" w:hAnsi="Times New Roman"/>
          <w:sz w:val="22"/>
          <w:szCs w:val="22"/>
        </w:rPr>
        <w:t xml:space="preserve"> superconducting materials for electric power applications, </w:t>
      </w:r>
      <w:r>
        <w:rPr>
          <w:rFonts w:ascii="Times New Roman" w:cs="Times New Roman" w:eastAsia="Times New Roman" w:hAnsi="Times New Roman"/>
          <w:i/>
          <w:iCs/>
          <w:sz w:val="22"/>
          <w:szCs w:val="22"/>
        </w:rPr>
        <w:t xml:space="preserve">Nature (London)</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414</w:t>
      </w:r>
      <w:r>
        <w:rPr>
          <w:rFonts w:ascii="Times New Roman" w:cs="Times New Roman" w:eastAsia="Times New Roman" w:hAnsi="Times New Roman"/>
          <w:sz w:val="22"/>
          <w:szCs w:val="22"/>
        </w:rPr>
        <w:t xml:space="preserve">, 368 (2001).</w:t>
      </w:r>
    </w:p>
    <w:p>
      <w:pPr>
        <w:spacing w:after="120" w:line="240"/>
        <w:ind w:left="431" w:hanging="431"/>
      </w:pPr>
      <w:r>
        <w:rPr>
          <w:rFonts w:ascii="Times New Roman" w:cs="Times New Roman" w:eastAsia="Times New Roman" w:hAnsi="Times New Roman"/>
          <w:sz w:val="22"/>
          <w:szCs w:val="22"/>
        </w:rPr>
        <w:t xml:space="preserve">[10]</w:t>
      </w:r>
      <w:r>
        <w:rPr>
          <w:rFonts w:ascii="Times New Roman" w:cs="Times New Roman" w:eastAsia="Times New Roman" w:hAnsi="Times New Roman"/>
          <w:sz w:val="22"/>
          <w:szCs w:val="22"/>
        </w:rPr>
        <w:t xml:space="preserve"> C. Buzea and T. Yamashita, Review of the superconducting properties of MgB</w:t>
      </w:r>
      <w:r>
        <w:rPr>
          <w:rFonts w:ascii="Times New Roman" w:cs="Times New Roman" w:eastAsia="Times New Roman" w:hAnsi="Times New Roman"/>
          <w:i w:val="false"/>
          <w:iCs w:val="false"/>
          <w:sz w:val="22"/>
          <w:szCs w:val="22"/>
          <w:vertAlign w:val="subscript"/>
        </w:rPr>
        <w:t xml:space="preserve">2</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Supercond. Sci. Technol.</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14</w:t>
      </w:r>
      <w:r>
        <w:rPr>
          <w:rFonts w:ascii="Times New Roman" w:cs="Times New Roman" w:eastAsia="Times New Roman" w:hAnsi="Times New Roman"/>
          <w:sz w:val="22"/>
          <w:szCs w:val="22"/>
        </w:rPr>
        <w:t xml:space="preserve">, R115 (2001).</w:t>
      </w:r>
    </w:p>
    <w:p>
      <w:pPr>
        <w:spacing w:after="120" w:line="240"/>
        <w:ind w:left="431" w:hanging="431"/>
      </w:pPr>
      <w:r>
        <w:rPr>
          <w:rFonts w:ascii="Times New Roman" w:cs="Times New Roman" w:eastAsia="Times New Roman" w:hAnsi="Times New Roman"/>
          <w:sz w:val="22"/>
          <w:szCs w:val="22"/>
        </w:rPr>
        <w:t xml:space="preserve">[11]</w:t>
      </w:r>
      <w:r>
        <w:rPr>
          <w:rFonts w:ascii="Times New Roman" w:cs="Times New Roman" w:eastAsia="Times New Roman" w:hAnsi="Times New Roman"/>
          <w:sz w:val="22"/>
          <w:szCs w:val="22"/>
        </w:rPr>
        <w:t xml:space="preserve"> N. R. Werthamer, E. Helfand, and P. C. Hohenberg, Temperature and purity dependence of the superconducting critical field, </w:t>
      </w:r>
      <w:r>
        <w:rPr>
          <w:rFonts w:ascii="Times New Roman" w:cs="Times New Roman" w:eastAsia="Times New Roman" w:hAnsi="Times New Roman"/>
          <w:i/>
          <w:iCs/>
          <w:sz w:val="22"/>
          <w:szCs w:val="22"/>
        </w:rPr>
        <w:t xml:space="preserve">H</w:t>
      </w:r>
      <w:r>
        <w:rPr>
          <w:rFonts w:ascii="Times New Roman" w:cs="Times New Roman" w:eastAsia="Times New Roman" w:hAnsi="Times New Roman"/>
          <w:i w:val="false"/>
          <w:iCs w:val="false"/>
          <w:sz w:val="22"/>
          <w:szCs w:val="22"/>
          <w:vertAlign w:val="subscript"/>
        </w:rPr>
        <w:t xml:space="preserve">c2</w:t>
      </w:r>
      <w:r>
        <w:rPr>
          <w:rFonts w:ascii="Times New Roman" w:cs="Times New Roman" w:eastAsia="Times New Roman" w:hAnsi="Times New Roman"/>
          <w:sz w:val="22"/>
          <w:szCs w:val="22"/>
        </w:rPr>
        <w:t xml:space="preserve">. III. Electron spin and spin-orbit effects, </w:t>
      </w:r>
      <w:r>
        <w:rPr>
          <w:rFonts w:ascii="Times New Roman" w:cs="Times New Roman" w:eastAsia="Times New Roman" w:hAnsi="Times New Roman"/>
          <w:i/>
          <w:iCs/>
          <w:sz w:val="22"/>
          <w:szCs w:val="22"/>
        </w:rPr>
        <w:t xml:space="preserve">Phys. Rev.</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147</w:t>
      </w:r>
      <w:r>
        <w:rPr>
          <w:rFonts w:ascii="Times New Roman" w:cs="Times New Roman" w:eastAsia="Times New Roman" w:hAnsi="Times New Roman"/>
          <w:sz w:val="22"/>
          <w:szCs w:val="22"/>
        </w:rPr>
        <w:t xml:space="preserve">, 295 (1966).</w:t>
      </w:r>
    </w:p>
    <w:p>
      <w:pPr>
        <w:spacing w:after="120" w:line="240"/>
        <w:ind w:left="431" w:hanging="431"/>
      </w:pPr>
      <w:r>
        <w:rPr>
          <w:rFonts w:ascii="Times New Roman" w:cs="Times New Roman" w:eastAsia="Times New Roman" w:hAnsi="Times New Roman"/>
          <w:sz w:val="22"/>
          <w:szCs w:val="22"/>
        </w:rPr>
        <w:t xml:space="preserve">[12]</w:t>
      </w:r>
      <w:r>
        <w:rPr>
          <w:rFonts w:ascii="Times New Roman" w:cs="Times New Roman" w:eastAsia="Times New Roman" w:hAnsi="Times New Roman"/>
          <w:sz w:val="22"/>
          <w:szCs w:val="22"/>
        </w:rPr>
        <w:t xml:space="preserve"> E. J. Kramer, Scaling laws for flux pinning in hard superconductors, </w:t>
      </w:r>
      <w:r>
        <w:rPr>
          <w:rFonts w:ascii="Times New Roman" w:cs="Times New Roman" w:eastAsia="Times New Roman" w:hAnsi="Times New Roman"/>
          <w:i/>
          <w:iCs/>
          <w:sz w:val="22"/>
          <w:szCs w:val="22"/>
        </w:rPr>
        <w:t xml:space="preserve">J. Appl. Phys.</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44</w:t>
      </w:r>
      <w:r>
        <w:rPr>
          <w:rFonts w:ascii="Times New Roman" w:cs="Times New Roman" w:eastAsia="Times New Roman" w:hAnsi="Times New Roman"/>
          <w:sz w:val="22"/>
          <w:szCs w:val="22"/>
        </w:rPr>
        <w:t xml:space="preserve">, 1360 (1973).</w:t>
      </w:r>
    </w:p>
    <w:p>
      <w:pPr>
        <w:spacing w:after="120" w:line="240"/>
        <w:ind w:left="431" w:hanging="431"/>
      </w:pPr>
      <w:r>
        <w:rPr>
          <w:rFonts w:ascii="Times New Roman" w:cs="Times New Roman" w:eastAsia="Times New Roman" w:hAnsi="Times New Roman"/>
          <w:sz w:val="22"/>
          <w:szCs w:val="22"/>
        </w:rPr>
        <w:t xml:space="preserve">[13]</w:t>
      </w:r>
      <w:r>
        <w:rPr>
          <w:rFonts w:ascii="Times New Roman" w:cs="Times New Roman" w:eastAsia="Times New Roman" w:hAnsi="Times New Roman"/>
          <w:sz w:val="22"/>
          <w:szCs w:val="22"/>
        </w:rPr>
        <w:t xml:space="preserve"> D. Dew-Hughes, Flux pinning mechanisms in type II superconductors, </w:t>
      </w:r>
      <w:r>
        <w:rPr>
          <w:rFonts w:ascii="Times New Roman" w:cs="Times New Roman" w:eastAsia="Times New Roman" w:hAnsi="Times New Roman"/>
          <w:i/>
          <w:iCs/>
          <w:sz w:val="22"/>
          <w:szCs w:val="22"/>
        </w:rPr>
        <w:t xml:space="preserve">Philos. Mag.</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30</w:t>
      </w:r>
      <w:r>
        <w:rPr>
          <w:rFonts w:ascii="Times New Roman" w:cs="Times New Roman" w:eastAsia="Times New Roman" w:hAnsi="Times New Roman"/>
          <w:sz w:val="22"/>
          <w:szCs w:val="22"/>
        </w:rPr>
        <w:t xml:space="preserve">, 293 (1974).</w:t>
      </w:r>
    </w:p>
    <w:p>
      <w:pPr>
        <w:spacing w:after="120" w:line="240"/>
        <w:ind w:left="431" w:hanging="431"/>
      </w:pPr>
      <w:r>
        <w:rPr>
          <w:rFonts w:ascii="Times New Roman" w:cs="Times New Roman" w:eastAsia="Times New Roman" w:hAnsi="Times New Roman"/>
          <w:sz w:val="22"/>
          <w:szCs w:val="22"/>
        </w:rPr>
        <w:t xml:space="preserve">[14]</w:t>
      </w:r>
      <w:r>
        <w:rPr>
          <w:rFonts w:ascii="Times New Roman" w:cs="Times New Roman" w:eastAsia="Times New Roman" w:hAnsi="Times New Roman"/>
          <w:sz w:val="22"/>
          <w:szCs w:val="22"/>
        </w:rPr>
        <w:t xml:space="preserve"> G. Blatter, M. V. Feigel'man, V. B. Geshkenbein, A. I. Larkin, and V. M. Vinokur, Vortices in high-temperature superconductors, </w:t>
      </w:r>
      <w:r>
        <w:rPr>
          <w:rFonts w:ascii="Times New Roman" w:cs="Times New Roman" w:eastAsia="Times New Roman" w:hAnsi="Times New Roman"/>
          <w:i/>
          <w:iCs/>
          <w:sz w:val="22"/>
          <w:szCs w:val="22"/>
        </w:rPr>
        <w:t xml:space="preserve">Rev. Mod. Phys.</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66</w:t>
      </w:r>
      <w:r>
        <w:rPr>
          <w:rFonts w:ascii="Times New Roman" w:cs="Times New Roman" w:eastAsia="Times New Roman" w:hAnsi="Times New Roman"/>
          <w:sz w:val="22"/>
          <w:szCs w:val="22"/>
        </w:rPr>
        <w:t xml:space="preserve">, 1125 (1994).</w:t>
      </w:r>
    </w:p>
    <w:p>
      <w:pPr>
        <w:spacing w:after="120" w:line="240"/>
        <w:ind w:left="431" w:hanging="431"/>
      </w:pPr>
      <w:r>
        <w:rPr>
          <w:rFonts w:ascii="Times New Roman" w:cs="Times New Roman" w:eastAsia="Times New Roman" w:hAnsi="Times New Roman"/>
          <w:sz w:val="22"/>
          <w:szCs w:val="22"/>
        </w:rPr>
        <w:t xml:space="preserve">[15]</w:t>
      </w:r>
      <w:r>
        <w:rPr>
          <w:rFonts w:ascii="Times New Roman" w:cs="Times New Roman" w:eastAsia="Times New Roman" w:hAnsi="Times New Roman"/>
          <w:sz w:val="22"/>
          <w:szCs w:val="22"/>
        </w:rPr>
        <w:t xml:space="preserve"> L. Civale, A. D. Marwick, T. K. Worthington, M. A. Kirk, J. R. Thompson, L. Krusin-Elbaum, Y. Sun, J. R. Clem, and F. Holtzberg, Vortex confinement by columnar defects in YBa</w:t>
      </w:r>
      <w:r>
        <w:rPr>
          <w:rFonts w:ascii="Times New Roman" w:cs="Times New Roman" w:eastAsia="Times New Roman" w:hAnsi="Times New Roman"/>
          <w:i w:val="false"/>
          <w:iCs w:val="false"/>
          <w:sz w:val="22"/>
          <w:szCs w:val="22"/>
          <w:vertAlign w:val="subscript"/>
        </w:rPr>
        <w:t xml:space="preserve">2</w:t>
      </w:r>
      <w:r>
        <w:rPr>
          <w:rFonts w:ascii="Times New Roman" w:cs="Times New Roman" w:eastAsia="Times New Roman" w:hAnsi="Times New Roman"/>
          <w:sz w:val="22"/>
          <w:szCs w:val="22"/>
        </w:rPr>
        <w:t xml:space="preserve">Cu</w:t>
      </w:r>
      <w:r>
        <w:rPr>
          <w:rFonts w:ascii="Times New Roman" w:cs="Times New Roman" w:eastAsia="Times New Roman" w:hAnsi="Times New Roman"/>
          <w:i w:val="false"/>
          <w:iCs w:val="false"/>
          <w:sz w:val="22"/>
          <w:szCs w:val="22"/>
          <w:vertAlign w:val="subscript"/>
        </w:rPr>
        <w:t xml:space="preserve">3</w:t>
      </w:r>
      <w:r>
        <w:rPr>
          <w:rFonts w:ascii="Times New Roman" w:cs="Times New Roman" w:eastAsia="Times New Roman" w:hAnsi="Times New Roman"/>
          <w:sz w:val="22"/>
          <w:szCs w:val="22"/>
        </w:rPr>
        <w:t xml:space="preserve">O</w:t>
      </w:r>
      <w:r>
        <w:rPr>
          <w:rFonts w:ascii="Times New Roman" w:cs="Times New Roman" w:eastAsia="Times New Roman" w:hAnsi="Times New Roman"/>
          <w:i w:val="false"/>
          <w:iCs w:val="false"/>
          <w:sz w:val="22"/>
          <w:szCs w:val="22"/>
          <w:vertAlign w:val="subscript"/>
        </w:rPr>
        <w:t xml:space="preserve">7</w:t>
      </w:r>
      <w:r>
        <w:rPr>
          <w:rFonts w:ascii="Times New Roman" w:cs="Times New Roman" w:eastAsia="Times New Roman" w:hAnsi="Times New Roman"/>
          <w:sz w:val="22"/>
          <w:szCs w:val="22"/>
        </w:rPr>
        <w:t xml:space="preserve"> crystals: Enhanced pinning at high fields and temperatures, </w:t>
      </w:r>
      <w:r>
        <w:rPr>
          <w:rFonts w:ascii="Times New Roman" w:cs="Times New Roman" w:eastAsia="Times New Roman" w:hAnsi="Times New Roman"/>
          <w:i/>
          <w:iCs/>
          <w:sz w:val="22"/>
          <w:szCs w:val="22"/>
        </w:rPr>
        <w:t xml:space="preserve">Phys. Rev. Lett.</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67</w:t>
      </w:r>
      <w:r>
        <w:rPr>
          <w:rFonts w:ascii="Times New Roman" w:cs="Times New Roman" w:eastAsia="Times New Roman" w:hAnsi="Times New Roman"/>
          <w:sz w:val="22"/>
          <w:szCs w:val="22"/>
        </w:rPr>
        <w:t xml:space="preserve">, 648 (1991).</w:t>
      </w:r>
    </w:p>
    <w:p>
      <w:pPr>
        <w:spacing w:after="120" w:line="240"/>
        <w:ind w:left="431" w:hanging="431"/>
      </w:pPr>
      <w:r>
        <w:rPr>
          <w:rFonts w:ascii="Times New Roman" w:cs="Times New Roman" w:eastAsia="Times New Roman" w:hAnsi="Times New Roman"/>
          <w:sz w:val="22"/>
          <w:szCs w:val="22"/>
        </w:rPr>
        <w:t xml:space="preserve">[16]</w:t>
      </w:r>
      <w:r>
        <w:rPr>
          <w:rFonts w:ascii="Times New Roman" w:cs="Times New Roman" w:eastAsia="Times New Roman" w:hAnsi="Times New Roman"/>
          <w:sz w:val="22"/>
          <w:szCs w:val="22"/>
        </w:rPr>
        <w:t xml:space="preserve"> E. H. Brandt, The flux-line lattice in superconductors, </w:t>
      </w:r>
      <w:r>
        <w:rPr>
          <w:rFonts w:ascii="Times New Roman" w:cs="Times New Roman" w:eastAsia="Times New Roman" w:hAnsi="Times New Roman"/>
          <w:i/>
          <w:iCs/>
          <w:sz w:val="22"/>
          <w:szCs w:val="22"/>
        </w:rPr>
        <w:t xml:space="preserve">Rep. Prog. Phys.</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58</w:t>
      </w:r>
      <w:r>
        <w:rPr>
          <w:rFonts w:ascii="Times New Roman" w:cs="Times New Roman" w:eastAsia="Times New Roman" w:hAnsi="Times New Roman"/>
          <w:sz w:val="22"/>
          <w:szCs w:val="22"/>
        </w:rPr>
        <w:t xml:space="preserve">, 1465 (1995).</w:t>
      </w:r>
    </w:p>
    <w:p>
      <w:pPr>
        <w:spacing w:after="120" w:line="240"/>
        <w:ind w:left="431" w:hanging="431"/>
      </w:pPr>
      <w:r>
        <w:rPr>
          <w:rFonts w:ascii="Times New Roman" w:cs="Times New Roman" w:eastAsia="Times New Roman" w:hAnsi="Times New Roman"/>
          <w:sz w:val="22"/>
          <w:szCs w:val="22"/>
        </w:rPr>
        <w:t xml:space="preserve">[17]</w:t>
      </w:r>
      <w:r>
        <w:rPr>
          <w:rFonts w:ascii="Times New Roman" w:cs="Times New Roman" w:eastAsia="Times New Roman" w:hAnsi="Times New Roman"/>
          <w:sz w:val="22"/>
          <w:szCs w:val="22"/>
        </w:rPr>
        <w:t xml:space="preserve"> Y. Mizuguchi and Y. Takano, Review of Fe chalcogenides as the simplest Fe-based superconductor, </w:t>
      </w:r>
      <w:r>
        <w:rPr>
          <w:rFonts w:ascii="Times New Roman" w:cs="Times New Roman" w:eastAsia="Times New Roman" w:hAnsi="Times New Roman"/>
          <w:i/>
          <w:iCs/>
          <w:sz w:val="22"/>
          <w:szCs w:val="22"/>
        </w:rPr>
        <w:t xml:space="preserve">J. Phys. Soc. Jpn.</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79</w:t>
      </w:r>
      <w:r>
        <w:rPr>
          <w:rFonts w:ascii="Times New Roman" w:cs="Times New Roman" w:eastAsia="Times New Roman" w:hAnsi="Times New Roman"/>
          <w:sz w:val="22"/>
          <w:szCs w:val="22"/>
        </w:rPr>
        <w:t xml:space="preserve">, 102001 (2010).</w:t>
      </w:r>
    </w:p>
    <w:p>
      <w:pPr>
        <w:spacing w:after="120" w:line="240"/>
        <w:ind w:left="431" w:hanging="431"/>
      </w:pPr>
      <w:r>
        <w:rPr>
          <w:rFonts w:ascii="Times New Roman" w:cs="Times New Roman" w:eastAsia="Times New Roman" w:hAnsi="Times New Roman"/>
          <w:sz w:val="22"/>
          <w:szCs w:val="22"/>
        </w:rPr>
        <w:t xml:space="preserve">[18]</w:t>
      </w:r>
      <w:r>
        <w:rPr>
          <w:rFonts w:ascii="Times New Roman" w:cs="Times New Roman" w:eastAsia="Times New Roman" w:hAnsi="Times New Roman"/>
          <w:sz w:val="22"/>
          <w:szCs w:val="22"/>
        </w:rPr>
        <w:t xml:space="preserve"> J. G. Bednorz and K. A. Müller, Possible high-</w:t>
      </w:r>
      <w:r>
        <w:rPr>
          <w:rFonts w:ascii="Times New Roman" w:cs="Times New Roman" w:eastAsia="Times New Roman" w:hAnsi="Times New Roman"/>
          <w:i/>
          <w:iCs/>
          <w:sz w:val="22"/>
          <w:szCs w:val="22"/>
        </w:rPr>
        <w:t xml:space="preserve">T</w:t>
      </w:r>
      <w:r>
        <w:rPr>
          <w:rFonts w:ascii="Times New Roman" w:cs="Times New Roman" w:eastAsia="Times New Roman" w:hAnsi="Times New Roman"/>
          <w:i w:val="false"/>
          <w:iCs w:val="false"/>
          <w:sz w:val="22"/>
          <w:szCs w:val="22"/>
          <w:vertAlign w:val="subscript"/>
        </w:rPr>
        <w:t xml:space="preserve">c</w:t>
      </w:r>
      <w:r>
        <w:rPr>
          <w:rFonts w:ascii="Times New Roman" w:cs="Times New Roman" w:eastAsia="Times New Roman" w:hAnsi="Times New Roman"/>
          <w:sz w:val="22"/>
          <w:szCs w:val="22"/>
        </w:rPr>
        <w:t xml:space="preserve"> superconductivity in the Ba-La-Cu-O system, </w:t>
      </w:r>
      <w:r>
        <w:rPr>
          <w:rFonts w:ascii="Times New Roman" w:cs="Times New Roman" w:eastAsia="Times New Roman" w:hAnsi="Times New Roman"/>
          <w:i/>
          <w:iCs/>
          <w:sz w:val="22"/>
          <w:szCs w:val="22"/>
        </w:rPr>
        <w:t xml:space="preserve">Z. Phys. B</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64</w:t>
      </w:r>
      <w:r>
        <w:rPr>
          <w:rFonts w:ascii="Times New Roman" w:cs="Times New Roman" w:eastAsia="Times New Roman" w:hAnsi="Times New Roman"/>
          <w:sz w:val="22"/>
          <w:szCs w:val="22"/>
        </w:rPr>
        <w:t xml:space="preserve">, 189 (1986).</w:t>
      </w:r>
    </w:p>
    <w:p>
      <w:pPr>
        <w:spacing w:after="120" w:line="240"/>
        <w:ind w:left="431" w:hanging="431"/>
      </w:pPr>
      <w:r>
        <w:rPr>
          <w:rFonts w:ascii="Times New Roman" w:cs="Times New Roman" w:eastAsia="Times New Roman" w:hAnsi="Times New Roman"/>
          <w:sz w:val="22"/>
          <w:szCs w:val="22"/>
        </w:rPr>
        <w:t xml:space="preserve">[19]</w:t>
      </w:r>
      <w:r>
        <w:rPr>
          <w:rFonts w:ascii="Times New Roman" w:cs="Times New Roman" w:eastAsia="Times New Roman" w:hAnsi="Times New Roman"/>
          <w:sz w:val="22"/>
          <w:szCs w:val="22"/>
        </w:rPr>
        <w:t xml:space="preserve"> J. Nagamatsu, N. Nakagawa, T. Muranaka, Y. Zenitani, and J. Akimitsu, Superconductivity at 39 K in magnesium diboride, </w:t>
      </w:r>
      <w:r>
        <w:rPr>
          <w:rFonts w:ascii="Times New Roman" w:cs="Times New Roman" w:eastAsia="Times New Roman" w:hAnsi="Times New Roman"/>
          <w:i/>
          <w:iCs/>
          <w:sz w:val="22"/>
          <w:szCs w:val="22"/>
        </w:rPr>
        <w:t xml:space="preserve">Nature (London)</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410</w:t>
      </w:r>
      <w:r>
        <w:rPr>
          <w:rFonts w:ascii="Times New Roman" w:cs="Times New Roman" w:eastAsia="Times New Roman" w:hAnsi="Times New Roman"/>
          <w:sz w:val="22"/>
          <w:szCs w:val="22"/>
        </w:rPr>
        <w:t xml:space="preserve">, 63 (2001).</w:t>
      </w:r>
    </w:p>
    <w:p>
      <w:pPr>
        <w:spacing w:after="120" w:line="240"/>
        <w:ind w:left="431" w:hanging="431"/>
      </w:pPr>
      <w:r>
        <w:rPr>
          <w:rFonts w:ascii="Times New Roman" w:cs="Times New Roman" w:eastAsia="Times New Roman" w:hAnsi="Times New Roman"/>
          <w:sz w:val="22"/>
          <w:szCs w:val="22"/>
        </w:rPr>
        <w:t xml:space="preserve">[20]</w:t>
      </w:r>
      <w:r>
        <w:rPr>
          <w:rFonts w:ascii="Times New Roman" w:cs="Times New Roman" w:eastAsia="Times New Roman" w:hAnsi="Times New Roman"/>
          <w:sz w:val="22"/>
          <w:szCs w:val="22"/>
        </w:rPr>
        <w:t xml:space="preserve"> F.-C. Hsu, J.-Y. Luo, K.-W. Yeh, T.-K. Chen, T.-W. Huang, P. M. Wu, Y.-C. Lee, Y.-L. Huang, Y.-Y. Chu, D.-C. Yan, and M.-K. Wu, Superconductivity in the PbO-type structure α-FeSe, </w:t>
      </w:r>
      <w:r>
        <w:rPr>
          <w:rFonts w:ascii="Times New Roman" w:cs="Times New Roman" w:eastAsia="Times New Roman" w:hAnsi="Times New Roman"/>
          <w:i/>
          <w:iCs/>
          <w:sz w:val="22"/>
          <w:szCs w:val="22"/>
        </w:rPr>
        <w:t xml:space="preserve">Proc. Natl. Acad. Sci. U.S.A.</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105</w:t>
      </w:r>
      <w:r>
        <w:rPr>
          <w:rFonts w:ascii="Times New Roman" w:cs="Times New Roman" w:eastAsia="Times New Roman" w:hAnsi="Times New Roman"/>
          <w:sz w:val="22"/>
          <w:szCs w:val="22"/>
        </w:rPr>
        <w:t xml:space="preserve">, 14262 (2008).</w:t>
      </w:r>
    </w:p>
    <w:p>
      <w:pPr>
        <w:spacing w:after="120" w:line="240"/>
        <w:ind w:left="431" w:hanging="431"/>
      </w:pPr>
      <w:r>
        <w:rPr>
          <w:rFonts w:ascii="Times New Roman" w:cs="Times New Roman" w:eastAsia="Times New Roman" w:hAnsi="Times New Roman"/>
          <w:sz w:val="22"/>
          <w:szCs w:val="22"/>
        </w:rPr>
        <w:t xml:space="preserve">[21]</w:t>
      </w:r>
      <w:r>
        <w:rPr>
          <w:rFonts w:ascii="Times New Roman" w:cs="Times New Roman" w:eastAsia="Times New Roman" w:hAnsi="Times New Roman"/>
          <w:sz w:val="22"/>
          <w:szCs w:val="22"/>
        </w:rPr>
        <w:t xml:space="preserve"> Y. Kamihara, T. Watanabe, M. Hirano, and H. Hosono, Iron-based layered superconductor La[O</w:t>
      </w:r>
      <w:r>
        <w:rPr>
          <w:rFonts w:ascii="Times New Roman" w:cs="Times New Roman" w:eastAsia="Times New Roman" w:hAnsi="Times New Roman"/>
          <w:i w:val="false"/>
          <w:iCs w:val="false"/>
          <w:sz w:val="22"/>
          <w:szCs w:val="22"/>
          <w:vertAlign w:val="subscript"/>
        </w:rPr>
        <w:t xml:space="preserve">1−x</w:t>
      </w:r>
      <w:r>
        <w:rPr>
          <w:rFonts w:ascii="Times New Roman" w:cs="Times New Roman" w:eastAsia="Times New Roman" w:hAnsi="Times New Roman"/>
          <w:sz w:val="22"/>
          <w:szCs w:val="22"/>
        </w:rPr>
        <w:t xml:space="preserve">F</w:t>
      </w:r>
      <w:r>
        <w:rPr>
          <w:rFonts w:ascii="Times New Roman" w:cs="Times New Roman" w:eastAsia="Times New Roman" w:hAnsi="Times New Roman"/>
          <w:i w:val="false"/>
          <w:iCs w:val="false"/>
          <w:sz w:val="22"/>
          <w:szCs w:val="22"/>
          <w:vertAlign w:val="subscript"/>
        </w:rPr>
        <w:t xml:space="preserve">x</w:t>
      </w:r>
      <w:r>
        <w:rPr>
          <w:rFonts w:ascii="Times New Roman" w:cs="Times New Roman" w:eastAsia="Times New Roman" w:hAnsi="Times New Roman"/>
          <w:sz w:val="22"/>
          <w:szCs w:val="22"/>
        </w:rPr>
        <w:t xml:space="preserve">]FeAs (</w:t>
      </w:r>
      <w:r>
        <w:rPr>
          <w:rFonts w:ascii="Times New Roman" w:cs="Times New Roman" w:eastAsia="Times New Roman" w:hAnsi="Times New Roman"/>
          <w:i/>
          <w:iCs/>
          <w:sz w:val="22"/>
          <w:szCs w:val="22"/>
        </w:rPr>
        <w:t xml:space="preserve">x</w:t>
      </w:r>
      <w:r>
        <w:rPr>
          <w:rFonts w:ascii="Times New Roman" w:cs="Times New Roman" w:eastAsia="Times New Roman" w:hAnsi="Times New Roman"/>
          <w:sz w:val="22"/>
          <w:szCs w:val="22"/>
        </w:rPr>
        <w:t xml:space="preserve"> = 0.05–0.12) with </w:t>
      </w:r>
      <w:r>
        <w:rPr>
          <w:rFonts w:ascii="Times New Roman" w:cs="Times New Roman" w:eastAsia="Times New Roman" w:hAnsi="Times New Roman"/>
          <w:i/>
          <w:iCs/>
          <w:sz w:val="22"/>
          <w:szCs w:val="22"/>
        </w:rPr>
        <w:t xml:space="preserve">T</w:t>
      </w:r>
      <w:r>
        <w:rPr>
          <w:rFonts w:ascii="Times New Roman" w:cs="Times New Roman" w:eastAsia="Times New Roman" w:hAnsi="Times New Roman"/>
          <w:i w:val="false"/>
          <w:iCs w:val="false"/>
          <w:sz w:val="22"/>
          <w:szCs w:val="22"/>
          <w:vertAlign w:val="subscript"/>
        </w:rPr>
        <w:t xml:space="preserve">c</w:t>
      </w:r>
      <w:r>
        <w:rPr>
          <w:rFonts w:ascii="Times New Roman" w:cs="Times New Roman" w:eastAsia="Times New Roman" w:hAnsi="Times New Roman"/>
          <w:sz w:val="22"/>
          <w:szCs w:val="22"/>
        </w:rPr>
        <w:t xml:space="preserve"> = 26 K, </w:t>
      </w:r>
      <w:r>
        <w:rPr>
          <w:rFonts w:ascii="Times New Roman" w:cs="Times New Roman" w:eastAsia="Times New Roman" w:hAnsi="Times New Roman"/>
          <w:i/>
          <w:iCs/>
          <w:sz w:val="22"/>
          <w:szCs w:val="22"/>
        </w:rPr>
        <w:t xml:space="preserve">J. Am. Chem. Soc.</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130</w:t>
      </w:r>
      <w:r>
        <w:rPr>
          <w:rFonts w:ascii="Times New Roman" w:cs="Times New Roman" w:eastAsia="Times New Roman" w:hAnsi="Times New Roman"/>
          <w:sz w:val="22"/>
          <w:szCs w:val="22"/>
        </w:rPr>
        <w:t xml:space="preserve">, 3296 (2008).</w:t>
      </w:r>
    </w:p>
    <w:p>
      <w:pPr>
        <w:spacing w:after="120" w:line="240"/>
        <w:ind w:left="431" w:hanging="431"/>
      </w:pPr>
      <w:r>
        <w:rPr>
          <w:rFonts w:ascii="Times New Roman" w:cs="Times New Roman" w:eastAsia="Times New Roman" w:hAnsi="Times New Roman"/>
          <w:sz w:val="22"/>
          <w:szCs w:val="22"/>
        </w:rPr>
        <w:t xml:space="preserve">[22]</w:t>
      </w:r>
      <w:r>
        <w:rPr>
          <w:rFonts w:ascii="Times New Roman" w:cs="Times New Roman" w:eastAsia="Times New Roman" w:hAnsi="Times New Roman"/>
          <w:sz w:val="22"/>
          <w:szCs w:val="22"/>
        </w:rPr>
        <w:t xml:space="preserve"> M. Rotter, M. Tegel, and D. Johrendt, Superconductivity at 38 K in the iron arsenide (Ba</w:t>
      </w:r>
      <w:r>
        <w:rPr>
          <w:rFonts w:ascii="Times New Roman" w:cs="Times New Roman" w:eastAsia="Times New Roman" w:hAnsi="Times New Roman"/>
          <w:i w:val="false"/>
          <w:iCs w:val="false"/>
          <w:sz w:val="22"/>
          <w:szCs w:val="22"/>
          <w:vertAlign w:val="subscript"/>
        </w:rPr>
        <w:t xml:space="preserve">1−x</w:t>
      </w:r>
      <w:r>
        <w:rPr>
          <w:rFonts w:ascii="Times New Roman" w:cs="Times New Roman" w:eastAsia="Times New Roman" w:hAnsi="Times New Roman"/>
          <w:sz w:val="22"/>
          <w:szCs w:val="22"/>
        </w:rPr>
        <w:t xml:space="preserve">K</w:t>
      </w:r>
      <w:r>
        <w:rPr>
          <w:rFonts w:ascii="Times New Roman" w:cs="Times New Roman" w:eastAsia="Times New Roman" w:hAnsi="Times New Roman"/>
          <w:i w:val="false"/>
          <w:iCs w:val="false"/>
          <w:sz w:val="22"/>
          <w:szCs w:val="22"/>
          <w:vertAlign w:val="subscript"/>
        </w:rPr>
        <w:t xml:space="preserve">x</w:t>
      </w:r>
      <w:r>
        <w:rPr>
          <w:rFonts w:ascii="Times New Roman" w:cs="Times New Roman" w:eastAsia="Times New Roman" w:hAnsi="Times New Roman"/>
          <w:sz w:val="22"/>
          <w:szCs w:val="22"/>
        </w:rPr>
        <w:t xml:space="preserve">)Fe</w:t>
      </w:r>
      <w:r>
        <w:rPr>
          <w:rFonts w:ascii="Times New Roman" w:cs="Times New Roman" w:eastAsia="Times New Roman" w:hAnsi="Times New Roman"/>
          <w:i w:val="false"/>
          <w:iCs w:val="false"/>
          <w:sz w:val="22"/>
          <w:szCs w:val="22"/>
          <w:vertAlign w:val="subscript"/>
        </w:rPr>
        <w:t xml:space="preserve">2</w:t>
      </w:r>
      <w:r>
        <w:rPr>
          <w:rFonts w:ascii="Times New Roman" w:cs="Times New Roman" w:eastAsia="Times New Roman" w:hAnsi="Times New Roman"/>
          <w:sz w:val="22"/>
          <w:szCs w:val="22"/>
        </w:rPr>
        <w:t xml:space="preserve">As</w:t>
      </w:r>
      <w:r>
        <w:rPr>
          <w:rFonts w:ascii="Times New Roman" w:cs="Times New Roman" w:eastAsia="Times New Roman" w:hAnsi="Times New Roman"/>
          <w:i w:val="false"/>
          <w:iCs w:val="false"/>
          <w:sz w:val="22"/>
          <w:szCs w:val="22"/>
          <w:vertAlign w:val="subscript"/>
        </w:rPr>
        <w:t xml:space="preserve">2</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Phys. Rev. Lett.</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101</w:t>
      </w:r>
      <w:r>
        <w:rPr>
          <w:rFonts w:ascii="Times New Roman" w:cs="Times New Roman" w:eastAsia="Times New Roman" w:hAnsi="Times New Roman"/>
          <w:sz w:val="22"/>
          <w:szCs w:val="22"/>
        </w:rPr>
        <w:t xml:space="preserve">, 107006 (2008).</w:t>
      </w:r>
    </w:p>
    <w:p>
      <w:pPr>
        <w:spacing w:after="120" w:line="240"/>
        <w:ind w:left="431" w:hanging="431"/>
      </w:pPr>
      <w:r>
        <w:rPr>
          <w:rFonts w:ascii="Times New Roman" w:cs="Times New Roman" w:eastAsia="Times New Roman" w:hAnsi="Times New Roman"/>
          <w:sz w:val="22"/>
          <w:szCs w:val="22"/>
        </w:rPr>
        <w:t xml:space="preserve">[23]</w:t>
      </w:r>
      <w:r>
        <w:rPr>
          <w:rFonts w:ascii="Times New Roman" w:cs="Times New Roman" w:eastAsia="Times New Roman" w:hAnsi="Times New Roman"/>
          <w:sz w:val="22"/>
          <w:szCs w:val="22"/>
        </w:rPr>
        <w:t xml:space="preserve"> Z. Hong, L. Ward, K. Chard, B. Blaiszik, and I. Foster, Challenges and advances in information extraction from scientific literature: a review, </w:t>
      </w:r>
      <w:r>
        <w:rPr>
          <w:rFonts w:ascii="Times New Roman" w:cs="Times New Roman" w:eastAsia="Times New Roman" w:hAnsi="Times New Roman"/>
          <w:i/>
          <w:iCs/>
          <w:sz w:val="22"/>
          <w:szCs w:val="22"/>
        </w:rPr>
        <w:t xml:space="preserve">JOM</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73</w:t>
      </w:r>
      <w:r>
        <w:rPr>
          <w:rFonts w:ascii="Times New Roman" w:cs="Times New Roman" w:eastAsia="Times New Roman" w:hAnsi="Times New Roman"/>
          <w:sz w:val="22"/>
          <w:szCs w:val="22"/>
        </w:rPr>
        <w:t xml:space="preserve">, 3383 (2021).</w:t>
      </w:r>
    </w:p>
    <w:p>
      <w:pPr>
        <w:spacing w:after="120" w:line="240"/>
        <w:ind w:left="431" w:hanging="431"/>
      </w:pPr>
      <w:r>
        <w:rPr>
          <w:rFonts w:ascii="Times New Roman" w:cs="Times New Roman" w:eastAsia="Times New Roman" w:hAnsi="Times New Roman"/>
          <w:sz w:val="22"/>
          <w:szCs w:val="22"/>
        </w:rPr>
        <w:t xml:space="preserve">[24]</w:t>
      </w:r>
      <w:r>
        <w:rPr>
          <w:rFonts w:ascii="Times New Roman" w:cs="Times New Roman" w:eastAsia="Times New Roman" w:hAnsi="Times New Roman"/>
          <w:sz w:val="22"/>
          <w:szCs w:val="22"/>
        </w:rPr>
        <w:t xml:space="preserve"> T. Gupta, M. Zaki, N. M. A. Krishnan, and Mausam, MatSciBERT: A materials domain language model for text mining and information extraction, </w:t>
      </w:r>
      <w:r>
        <w:rPr>
          <w:rFonts w:ascii="Times New Roman" w:cs="Times New Roman" w:eastAsia="Times New Roman" w:hAnsi="Times New Roman"/>
          <w:i/>
          <w:iCs/>
          <w:sz w:val="22"/>
          <w:szCs w:val="22"/>
        </w:rPr>
        <w:t xml:space="preserve">npj Comput. Mater.</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8</w:t>
      </w:r>
      <w:r>
        <w:rPr>
          <w:rFonts w:ascii="Times New Roman" w:cs="Times New Roman" w:eastAsia="Times New Roman" w:hAnsi="Times New Roman"/>
          <w:sz w:val="22"/>
          <w:szCs w:val="22"/>
        </w:rPr>
        <w:t xml:space="preserve">, 102 (2022).</w:t>
      </w:r>
    </w:p>
    <w:p>
      <w:pPr>
        <w:spacing w:after="120" w:line="240"/>
        <w:ind w:left="431" w:hanging="431"/>
      </w:pPr>
      <w:r>
        <w:rPr>
          <w:rFonts w:ascii="Times New Roman" w:cs="Times New Roman" w:eastAsia="Times New Roman" w:hAnsi="Times New Roman"/>
          <w:sz w:val="22"/>
          <w:szCs w:val="22"/>
        </w:rPr>
        <w:t xml:space="preserve">[25]</w:t>
      </w:r>
      <w:r>
        <w:rPr>
          <w:rFonts w:ascii="Times New Roman" w:cs="Times New Roman" w:eastAsia="Times New Roman" w:hAnsi="Times New Roman"/>
          <w:sz w:val="22"/>
          <w:szCs w:val="22"/>
        </w:rPr>
        <w:t xml:space="preserve"> V. Tshitoyan, J. Dagdelen, L. Weston, A. Dunn, Z. Rong, O. Kononova, K. A. Persson, G. Ceder, and A. Jain, Unsupervised word embeddings capture latent knowledge from materials science literature, </w:t>
      </w:r>
      <w:r>
        <w:rPr>
          <w:rFonts w:ascii="Times New Roman" w:cs="Times New Roman" w:eastAsia="Times New Roman" w:hAnsi="Times New Roman"/>
          <w:i/>
          <w:iCs/>
          <w:sz w:val="22"/>
          <w:szCs w:val="22"/>
        </w:rPr>
        <w:t xml:space="preserve">Nature (London)</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571</w:t>
      </w:r>
      <w:r>
        <w:rPr>
          <w:rFonts w:ascii="Times New Roman" w:cs="Times New Roman" w:eastAsia="Times New Roman" w:hAnsi="Times New Roman"/>
          <w:sz w:val="22"/>
          <w:szCs w:val="22"/>
        </w:rPr>
        <w:t xml:space="preserve">, 95 (2019).</w:t>
      </w:r>
    </w:p>
    <w:p>
      <w:pPr>
        <w:spacing w:after="120" w:line="240"/>
        <w:ind w:left="431" w:hanging="431"/>
      </w:pPr>
      <w:r>
        <w:rPr>
          <w:rFonts w:ascii="Times New Roman" w:cs="Times New Roman" w:eastAsia="Times New Roman" w:hAnsi="Times New Roman"/>
          <w:sz w:val="22"/>
          <w:szCs w:val="22"/>
        </w:rPr>
        <w:t xml:space="preserve">[26]</w:t>
      </w:r>
      <w:r>
        <w:rPr>
          <w:rFonts w:ascii="Times New Roman" w:cs="Times New Roman" w:eastAsia="Times New Roman" w:hAnsi="Times New Roman"/>
          <w:sz w:val="22"/>
          <w:szCs w:val="22"/>
        </w:rPr>
        <w:t xml:space="preserve"> M. C. Swain and J. M. Cole, ChemDataExtractor: A toolkit for automated extraction of chemical information from the scientific literature, </w:t>
      </w:r>
      <w:r>
        <w:rPr>
          <w:rFonts w:ascii="Times New Roman" w:cs="Times New Roman" w:eastAsia="Times New Roman" w:hAnsi="Times New Roman"/>
          <w:i/>
          <w:iCs/>
          <w:sz w:val="22"/>
          <w:szCs w:val="22"/>
        </w:rPr>
        <w:t xml:space="preserve">J. Chem. Inf. Model.</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56</w:t>
      </w:r>
      <w:r>
        <w:rPr>
          <w:rFonts w:ascii="Times New Roman" w:cs="Times New Roman" w:eastAsia="Times New Roman" w:hAnsi="Times New Roman"/>
          <w:sz w:val="22"/>
          <w:szCs w:val="22"/>
        </w:rPr>
        <w:t xml:space="preserve">, 1894 (2016).</w:t>
      </w:r>
    </w:p>
    <w:p>
      <w:pPr>
        <w:spacing w:after="120" w:line="240"/>
        <w:ind w:left="431" w:hanging="431"/>
      </w:pPr>
      <w:r>
        <w:rPr>
          <w:rFonts w:ascii="Times New Roman" w:cs="Times New Roman" w:eastAsia="Times New Roman" w:hAnsi="Times New Roman"/>
          <w:sz w:val="22"/>
          <w:szCs w:val="22"/>
        </w:rPr>
        <w:t xml:space="preserve">[27]</w:t>
      </w:r>
      <w:r>
        <w:rPr>
          <w:rFonts w:ascii="Times New Roman" w:cs="Times New Roman" w:eastAsia="Times New Roman" w:hAnsi="Times New Roman"/>
          <w:sz w:val="22"/>
          <w:szCs w:val="22"/>
        </w:rPr>
        <w:t xml:space="preserve"> OpenAI, GPT-4 Technical Report [Preprint], arXiv:2303.08774 (2023).</w:t>
      </w:r>
    </w:p>
    <w:p>
      <w:pPr>
        <w:spacing w:after="120" w:line="240"/>
        <w:ind w:left="431" w:hanging="431"/>
      </w:pPr>
      <w:r>
        <w:rPr>
          <w:rFonts w:ascii="Times New Roman" w:cs="Times New Roman" w:eastAsia="Times New Roman" w:hAnsi="Times New Roman"/>
          <w:sz w:val="22"/>
          <w:szCs w:val="22"/>
        </w:rPr>
        <w:t xml:space="preserve">[28]</w:t>
      </w:r>
      <w:r>
        <w:rPr>
          <w:rFonts w:ascii="Times New Roman" w:cs="Times New Roman" w:eastAsia="Times New Roman" w:hAnsi="Times New Roman"/>
          <w:sz w:val="22"/>
          <w:szCs w:val="22"/>
        </w:rPr>
        <w:t xml:space="preserve"> OpenAI, GPT-4V(ision) System Card, OpenAI Technical Report (2023). Available at https://openai.com/index/gpt-4v-system-card/ (accessed May 2025).</w:t>
      </w:r>
    </w:p>
    <w:p>
      <w:pPr>
        <w:spacing w:after="120" w:line="240"/>
        <w:ind w:left="431" w:hanging="431"/>
      </w:pPr>
      <w:r>
        <w:rPr>
          <w:rFonts w:ascii="Times New Roman" w:cs="Times New Roman" w:eastAsia="Times New Roman" w:hAnsi="Times New Roman"/>
          <w:sz w:val="22"/>
          <w:szCs w:val="22"/>
        </w:rPr>
        <w:t xml:space="preserve">[29]</w:t>
      </w:r>
      <w:r>
        <w:rPr>
          <w:rFonts w:ascii="Times New Roman" w:cs="Times New Roman" w:eastAsia="Times New Roman" w:hAnsi="Times New Roman"/>
          <w:sz w:val="22"/>
          <w:szCs w:val="22"/>
        </w:rPr>
        <w:t xml:space="preserve"> Y. Yeshurun and A. P. Malozemoff, Giant flux creep and irreversibility in an Y-Ba-Cu-O crystal: An alternative to the superconducting-glass model, </w:t>
      </w:r>
      <w:r>
        <w:rPr>
          <w:rFonts w:ascii="Times New Roman" w:cs="Times New Roman" w:eastAsia="Times New Roman" w:hAnsi="Times New Roman"/>
          <w:i/>
          <w:iCs/>
          <w:sz w:val="22"/>
          <w:szCs w:val="22"/>
        </w:rPr>
        <w:t xml:space="preserve">Phys. Rev. Lett.</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60</w:t>
      </w:r>
      <w:r>
        <w:rPr>
          <w:rFonts w:ascii="Times New Roman" w:cs="Times New Roman" w:eastAsia="Times New Roman" w:hAnsi="Times New Roman"/>
          <w:sz w:val="22"/>
          <w:szCs w:val="22"/>
        </w:rPr>
        <w:t xml:space="preserve">, 2202 (1988).</w:t>
      </w:r>
    </w:p>
    <w:p>
      <w:pPr>
        <w:spacing w:after="120" w:line="240"/>
        <w:ind w:left="431" w:hanging="431"/>
      </w:pPr>
      <w:r>
        <w:rPr>
          <w:rFonts w:ascii="Times New Roman" w:cs="Times New Roman" w:eastAsia="Times New Roman" w:hAnsi="Times New Roman"/>
          <w:sz w:val="22"/>
          <w:szCs w:val="22"/>
        </w:rPr>
        <w:t xml:space="preserve">[30]</w:t>
      </w:r>
      <w:r>
        <w:rPr>
          <w:rFonts w:ascii="Times New Roman" w:cs="Times New Roman" w:eastAsia="Times New Roman" w:hAnsi="Times New Roman"/>
          <w:sz w:val="22"/>
          <w:szCs w:val="22"/>
        </w:rPr>
        <w:t xml:space="preserve"> Y. B. Kim, C. F. Hempstead, and A. R. Strnad, Critical persistent currents in hard superconductors, </w:t>
      </w:r>
      <w:r>
        <w:rPr>
          <w:rFonts w:ascii="Times New Roman" w:cs="Times New Roman" w:eastAsia="Times New Roman" w:hAnsi="Times New Roman"/>
          <w:i/>
          <w:iCs/>
          <w:sz w:val="22"/>
          <w:szCs w:val="22"/>
        </w:rPr>
        <w:t xml:space="preserve">Phys. Rev. Lett.</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9</w:t>
      </w:r>
      <w:r>
        <w:rPr>
          <w:rFonts w:ascii="Times New Roman" w:cs="Times New Roman" w:eastAsia="Times New Roman" w:hAnsi="Times New Roman"/>
          <w:sz w:val="22"/>
          <w:szCs w:val="22"/>
        </w:rPr>
        <w:t xml:space="preserve">, 306 (1962).</w:t>
      </w:r>
    </w:p>
    <w:p>
      <w:pPr>
        <w:spacing w:after="120" w:line="240"/>
        <w:ind w:left="431" w:hanging="431"/>
      </w:pPr>
      <w:r>
        <w:rPr>
          <w:rFonts w:ascii="Times New Roman" w:cs="Times New Roman" w:eastAsia="Times New Roman" w:hAnsi="Times New Roman"/>
          <w:sz w:val="22"/>
          <w:szCs w:val="22"/>
        </w:rPr>
        <w:t xml:space="preserve">[31]</w:t>
      </w:r>
      <w:r>
        <w:rPr>
          <w:rFonts w:ascii="Times New Roman" w:cs="Times New Roman" w:eastAsia="Times New Roman" w:hAnsi="Times New Roman"/>
          <w:sz w:val="22"/>
          <w:szCs w:val="22"/>
        </w:rPr>
        <w:t xml:space="preserve"> C. K. Chow, On optimum recognition error and reject tradeoff, </w:t>
      </w:r>
      <w:r>
        <w:rPr>
          <w:rFonts w:ascii="Times New Roman" w:cs="Times New Roman" w:eastAsia="Times New Roman" w:hAnsi="Times New Roman"/>
          <w:i/>
          <w:iCs/>
          <w:sz w:val="22"/>
          <w:szCs w:val="22"/>
        </w:rPr>
        <w:t xml:space="preserve">IEEE Trans. Inf. Theory</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16</w:t>
      </w:r>
      <w:r>
        <w:rPr>
          <w:rFonts w:ascii="Times New Roman" w:cs="Times New Roman" w:eastAsia="Times New Roman" w:hAnsi="Times New Roman"/>
          <w:sz w:val="22"/>
          <w:szCs w:val="22"/>
        </w:rPr>
        <w:t xml:space="preserve">, 41 (1970).</w:t>
      </w:r>
    </w:p>
    <w:p>
      <w:pPr>
        <w:spacing w:after="120" w:line="240"/>
        <w:ind w:left="431" w:hanging="431"/>
      </w:pPr>
      <w:r>
        <w:rPr>
          <w:rFonts w:ascii="Times New Roman" w:cs="Times New Roman" w:eastAsia="Times New Roman" w:hAnsi="Times New Roman"/>
          <w:sz w:val="22"/>
          <w:szCs w:val="22"/>
        </w:rPr>
        <w:t xml:space="preserve">[32]</w:t>
      </w:r>
      <w:r>
        <w:rPr>
          <w:rFonts w:ascii="Times New Roman" w:cs="Times New Roman" w:eastAsia="Times New Roman" w:hAnsi="Times New Roman"/>
          <w:sz w:val="22"/>
          <w:szCs w:val="22"/>
        </w:rPr>
        <w:t xml:space="preserve"> R. El-Yaniv and Y. Wiener, On the foundations of noise-free selective classification, </w:t>
      </w:r>
      <w:r>
        <w:rPr>
          <w:rFonts w:ascii="Times New Roman" w:cs="Times New Roman" w:eastAsia="Times New Roman" w:hAnsi="Times New Roman"/>
          <w:i/>
          <w:iCs/>
          <w:sz w:val="22"/>
          <w:szCs w:val="22"/>
        </w:rPr>
        <w:t xml:space="preserve">J. Mach. Learn. Res.</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11</w:t>
      </w:r>
      <w:r>
        <w:rPr>
          <w:rFonts w:ascii="Times New Roman" w:cs="Times New Roman" w:eastAsia="Times New Roman" w:hAnsi="Times New Roman"/>
          <w:sz w:val="22"/>
          <w:szCs w:val="22"/>
        </w:rPr>
        <w:t xml:space="preserve">, 1605 (2010).</w:t>
      </w:r>
    </w:p>
    <w:p>
      <w:pPr>
        <w:spacing w:after="120" w:line="240"/>
        <w:ind w:left="431" w:hanging="431"/>
      </w:pPr>
      <w:r>
        <w:rPr>
          <w:rFonts w:ascii="Times New Roman" w:cs="Times New Roman" w:eastAsia="Times New Roman" w:hAnsi="Times New Roman"/>
          <w:sz w:val="22"/>
          <w:szCs w:val="22"/>
        </w:rPr>
        <w:t xml:space="preserve">[33]</w:t>
      </w:r>
      <w:r>
        <w:rPr>
          <w:rFonts w:ascii="Times New Roman" w:cs="Times New Roman" w:eastAsia="Times New Roman" w:hAnsi="Times New Roman"/>
          <w:sz w:val="22"/>
          <w:szCs w:val="22"/>
        </w:rPr>
        <w:t xml:space="preserve"> Y. Geifman and R. El-Yaniv, Selective classification for deep neural networks, in </w:t>
      </w:r>
      <w:r>
        <w:rPr>
          <w:rFonts w:ascii="Times New Roman" w:cs="Times New Roman" w:eastAsia="Times New Roman" w:hAnsi="Times New Roman"/>
          <w:i/>
          <w:iCs/>
          <w:sz w:val="22"/>
          <w:szCs w:val="22"/>
        </w:rPr>
        <w:t xml:space="preserve">Advances in Neural Information Processing Systems 30</w:t>
      </w:r>
      <w:r>
        <w:rPr>
          <w:rFonts w:ascii="Times New Roman" w:cs="Times New Roman" w:eastAsia="Times New Roman" w:hAnsi="Times New Roman"/>
          <w:sz w:val="22"/>
          <w:szCs w:val="22"/>
        </w:rPr>
        <w:t xml:space="preserve"> (Curran Associates, 2017), p. 4878.</w:t>
      </w:r>
    </w:p>
    <w:p>
      <w:pPr>
        <w:spacing w:after="120" w:line="240"/>
        <w:ind w:left="431" w:hanging="431"/>
      </w:pPr>
      <w:r>
        <w:rPr>
          <w:rFonts w:ascii="Times New Roman" w:cs="Times New Roman" w:eastAsia="Times New Roman" w:hAnsi="Times New Roman"/>
          <w:sz w:val="22"/>
          <w:szCs w:val="22"/>
        </w:rPr>
        <w:t xml:space="preserve">[34]</w:t>
      </w:r>
      <w:r>
        <w:rPr>
          <w:rFonts w:ascii="Times New Roman" w:cs="Times New Roman" w:eastAsia="Times New Roman" w:hAnsi="Times New Roman"/>
          <w:sz w:val="22"/>
          <w:szCs w:val="22"/>
        </w:rPr>
        <w:t xml:space="preserve"> V. Vovk, A. Gammerman, and G. Shafer, </w:t>
      </w:r>
      <w:r>
        <w:rPr>
          <w:rFonts w:ascii="Times New Roman" w:cs="Times New Roman" w:eastAsia="Times New Roman" w:hAnsi="Times New Roman"/>
          <w:i/>
          <w:iCs/>
          <w:sz w:val="22"/>
          <w:szCs w:val="22"/>
        </w:rPr>
        <w:t xml:space="preserve">Algorithmic Learning in a Random World</w:t>
      </w:r>
      <w:r>
        <w:rPr>
          <w:rFonts w:ascii="Times New Roman" w:cs="Times New Roman" w:eastAsia="Times New Roman" w:hAnsi="Times New Roman"/>
          <w:sz w:val="22"/>
          <w:szCs w:val="22"/>
        </w:rPr>
        <w:t xml:space="preserve"> (Springer, New York, 2005).</w:t>
      </w:r>
    </w:p>
    <w:p>
      <w:pPr>
        <w:spacing w:after="120" w:line="240"/>
        <w:ind w:left="431" w:hanging="431"/>
      </w:pPr>
      <w:r>
        <w:rPr>
          <w:rFonts w:ascii="Times New Roman" w:cs="Times New Roman" w:eastAsia="Times New Roman" w:hAnsi="Times New Roman"/>
          <w:sz w:val="22"/>
          <w:szCs w:val="22"/>
        </w:rPr>
        <w:t xml:space="preserve">[35]</w:t>
      </w:r>
      <w:r>
        <w:rPr>
          <w:rFonts w:ascii="Times New Roman" w:cs="Times New Roman" w:eastAsia="Times New Roman" w:hAnsi="Times New Roman"/>
          <w:sz w:val="22"/>
          <w:szCs w:val="22"/>
        </w:rPr>
        <w:t xml:space="preserve"> A. N. Angelopoulos and S. Bates, Conformal prediction: A gentle introduction, </w:t>
      </w:r>
      <w:r>
        <w:rPr>
          <w:rFonts w:ascii="Times New Roman" w:cs="Times New Roman" w:eastAsia="Times New Roman" w:hAnsi="Times New Roman"/>
          <w:i/>
          <w:iCs/>
          <w:sz w:val="22"/>
          <w:szCs w:val="22"/>
        </w:rPr>
        <w:t xml:space="preserve">Found. Trends Mach. Learn.</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16</w:t>
      </w:r>
      <w:r>
        <w:rPr>
          <w:rFonts w:ascii="Times New Roman" w:cs="Times New Roman" w:eastAsia="Times New Roman" w:hAnsi="Times New Roman"/>
          <w:sz w:val="22"/>
          <w:szCs w:val="22"/>
        </w:rPr>
        <w:t xml:space="preserve">, 494 (2023).</w:t>
      </w:r>
    </w:p>
    <w:p>
      <w:pPr>
        <w:spacing w:after="120" w:line="240"/>
        <w:ind w:left="431" w:hanging="431"/>
      </w:pPr>
      <w:r>
        <w:rPr>
          <w:rFonts w:ascii="Times New Roman" w:cs="Times New Roman" w:eastAsia="Times New Roman" w:hAnsi="Times New Roman"/>
          <w:sz w:val="22"/>
          <w:szCs w:val="22"/>
        </w:rPr>
        <w:t xml:space="preserve">[36]</w:t>
      </w:r>
      <w:r>
        <w:rPr>
          <w:rFonts w:ascii="Times New Roman" w:cs="Times New Roman" w:eastAsia="Times New Roman" w:hAnsi="Times New Roman"/>
          <w:sz w:val="22"/>
          <w:szCs w:val="22"/>
        </w:rPr>
        <w:t xml:space="preserve"> Anthropic, Claude model documentation, covering Claude Opus 4.8, Claude Opus 5, and Claude Sonnet 5 (Anthropic, San Francisco, 2026). Available at https://docs.anthropic.com/en/docs/about-claude/models (accessed August 2026).</w:t>
      </w:r>
    </w:p>
    <w:p>
      <w:pPr>
        <w:spacing w:after="120" w:line="240"/>
        <w:ind w:left="431" w:hanging="431"/>
      </w:pPr>
      <w:r>
        <w:rPr>
          <w:rFonts w:ascii="Times New Roman" w:cs="Times New Roman" w:eastAsia="Times New Roman" w:hAnsi="Times New Roman"/>
          <w:sz w:val="22"/>
          <w:szCs w:val="22"/>
        </w:rPr>
        <w:t xml:space="preserve">[37]</w:t>
      </w:r>
      <w:r>
        <w:rPr>
          <w:rFonts w:ascii="Times New Roman" w:cs="Times New Roman" w:eastAsia="Times New Roman" w:hAnsi="Times New Roman"/>
          <w:sz w:val="22"/>
          <w:szCs w:val="22"/>
        </w:rPr>
        <w:t xml:space="preserve"> J. Cohen, </w:t>
      </w:r>
      <w:r>
        <w:rPr>
          <w:rFonts w:ascii="Times New Roman" w:cs="Times New Roman" w:eastAsia="Times New Roman" w:hAnsi="Times New Roman"/>
          <w:i/>
          <w:iCs/>
          <w:sz w:val="22"/>
          <w:szCs w:val="22"/>
        </w:rPr>
        <w:t xml:space="preserve">Statistical Power Analysis for the Behavioral Sciences</w:t>
      </w:r>
      <w:r>
        <w:rPr>
          <w:rFonts w:ascii="Times New Roman" w:cs="Times New Roman" w:eastAsia="Times New Roman" w:hAnsi="Times New Roman"/>
          <w:sz w:val="22"/>
          <w:szCs w:val="22"/>
        </w:rPr>
        <w:t xml:space="preserve">, 2nd ed. (Lawrence Erlbaum Associates, Hillsdale, NJ, 1988).</w:t>
      </w:r>
    </w:p>
    <w:p>
      <w:pPr>
        <w:spacing w:after="120" w:line="240"/>
        <w:ind w:left="431" w:hanging="431"/>
      </w:pPr>
      <w:r>
        <w:rPr>
          <w:rFonts w:ascii="Times New Roman" w:cs="Times New Roman" w:eastAsia="Times New Roman" w:hAnsi="Times New Roman"/>
          <w:sz w:val="22"/>
          <w:szCs w:val="22"/>
        </w:rPr>
        <w:t xml:space="preserve">[38]</w:t>
      </w:r>
      <w:r>
        <w:rPr>
          <w:rFonts w:ascii="Times New Roman" w:cs="Times New Roman" w:eastAsia="Times New Roman" w:hAnsi="Times New Roman"/>
          <w:sz w:val="22"/>
          <w:szCs w:val="22"/>
        </w:rPr>
        <w:t xml:space="preserve"> M. Eisterer, Magnetic properties and critical currents of MgB</w:t>
      </w:r>
      <w:r>
        <w:rPr>
          <w:rFonts w:ascii="Times New Roman" w:cs="Times New Roman" w:eastAsia="Times New Roman" w:hAnsi="Times New Roman"/>
          <w:i w:val="false"/>
          <w:iCs w:val="false"/>
          <w:sz w:val="22"/>
          <w:szCs w:val="22"/>
          <w:vertAlign w:val="subscript"/>
        </w:rPr>
        <w:t xml:space="preserve">2</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Supercond. Sci. Technol.</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20</w:t>
      </w:r>
      <w:r>
        <w:rPr>
          <w:rFonts w:ascii="Times New Roman" w:cs="Times New Roman" w:eastAsia="Times New Roman" w:hAnsi="Times New Roman"/>
          <w:sz w:val="22"/>
          <w:szCs w:val="22"/>
        </w:rPr>
        <w:t xml:space="preserve">, R47 (2007).</w:t>
      </w:r>
    </w:p>
    <w:p>
      <w:pPr>
        <w:spacing w:after="120" w:line="240"/>
        <w:ind w:left="431" w:hanging="431"/>
      </w:pPr>
      <w:r>
        <w:rPr>
          <w:rFonts w:ascii="Times New Roman" w:cs="Times New Roman" w:eastAsia="Times New Roman" w:hAnsi="Times New Roman"/>
          <w:sz w:val="22"/>
          <w:szCs w:val="22"/>
        </w:rPr>
        <w:t xml:space="preserve">[39]</w:t>
      </w:r>
      <w:r>
        <w:rPr>
          <w:rFonts w:ascii="Times New Roman" w:cs="Times New Roman" w:eastAsia="Times New Roman" w:hAnsi="Times New Roman"/>
          <w:sz w:val="22"/>
          <w:szCs w:val="22"/>
        </w:rPr>
        <w:t xml:space="preserve"> K. Tran, W. Neiswanger, J. Yoon, Q. Zhang, E. Xing, and Z. W. Ulissi, Methods for comparing uncertainty quantifications for material property predictions, </w:t>
      </w:r>
      <w:r>
        <w:rPr>
          <w:rFonts w:ascii="Times New Roman" w:cs="Times New Roman" w:eastAsia="Times New Roman" w:hAnsi="Times New Roman"/>
          <w:i/>
          <w:iCs/>
          <w:sz w:val="22"/>
          <w:szCs w:val="22"/>
        </w:rPr>
        <w:t xml:space="preserve">Mach. Learn.: Sci. Technol.</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w:t>
      </w:r>
      <w:r>
        <w:rPr>
          <w:rFonts w:ascii="Times New Roman" w:cs="Times New Roman" w:eastAsia="Times New Roman" w:hAnsi="Times New Roman"/>
          <w:sz w:val="22"/>
          <w:szCs w:val="22"/>
        </w:rPr>
        <w:t xml:space="preserve">, 025006 (2020).</w:t>
      </w:r>
    </w:p>
    <w:p>
      <w:pPr>
        <w:spacing w:after="120" w:line="240"/>
        <w:ind w:left="431" w:hanging="431"/>
      </w:pPr>
      <w:r>
        <w:rPr>
          <w:rFonts w:ascii="Times New Roman" w:cs="Times New Roman" w:eastAsia="Times New Roman" w:hAnsi="Times New Roman"/>
          <w:sz w:val="22"/>
          <w:szCs w:val="22"/>
        </w:rPr>
        <w:t xml:space="preserve">[40]</w:t>
      </w:r>
      <w:r>
        <w:rPr>
          <w:rFonts w:ascii="Times New Roman" w:cs="Times New Roman" w:eastAsia="Times New Roman" w:hAnsi="Times New Roman"/>
          <w:sz w:val="22"/>
          <w:szCs w:val="22"/>
        </w:rPr>
        <w:t xml:space="preserve"> B. W. Roberts, Survey of superconductive materials and critical evaluation of selected properties, </w:t>
      </w:r>
      <w:r>
        <w:rPr>
          <w:rFonts w:ascii="Times New Roman" w:cs="Times New Roman" w:eastAsia="Times New Roman" w:hAnsi="Times New Roman"/>
          <w:i/>
          <w:iCs/>
          <w:sz w:val="22"/>
          <w:szCs w:val="22"/>
        </w:rPr>
        <w:t xml:space="preserve">J. Phys. Chem. Ref. Data</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5</w:t>
      </w:r>
      <w:r>
        <w:rPr>
          <w:rFonts w:ascii="Times New Roman" w:cs="Times New Roman" w:eastAsia="Times New Roman" w:hAnsi="Times New Roman"/>
          <w:sz w:val="22"/>
          <w:szCs w:val="22"/>
        </w:rPr>
        <w:t xml:space="preserve">, 581 (1976).</w:t>
      </w:r>
    </w:p>
    <w:p>
      <w:pPr>
        <w:spacing w:after="120" w:line="240"/>
        <w:ind w:left="431" w:hanging="431"/>
      </w:pPr>
      <w:r>
        <w:rPr>
          <w:rFonts w:ascii="Times New Roman" w:cs="Times New Roman" w:eastAsia="Times New Roman" w:hAnsi="Times New Roman"/>
          <w:sz w:val="22"/>
          <w:szCs w:val="22"/>
        </w:rPr>
        <w:t xml:space="preserve">[41]</w:t>
      </w:r>
      <w:r>
        <w:rPr>
          <w:rFonts w:ascii="Times New Roman" w:cs="Times New Roman" w:eastAsia="Times New Roman" w:hAnsi="Times New Roman"/>
          <w:sz w:val="22"/>
          <w:szCs w:val="22"/>
        </w:rPr>
        <w:t xml:space="preserve"> B. Efron, Bootstrap methods: Another look at the jackknife, </w:t>
      </w:r>
      <w:r>
        <w:rPr>
          <w:rFonts w:ascii="Times New Roman" w:cs="Times New Roman" w:eastAsia="Times New Roman" w:hAnsi="Times New Roman"/>
          <w:i/>
          <w:iCs/>
          <w:sz w:val="22"/>
          <w:szCs w:val="22"/>
        </w:rPr>
        <w:t xml:space="preserve">Ann. Stat.</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7</w:t>
      </w:r>
      <w:r>
        <w:rPr>
          <w:rFonts w:ascii="Times New Roman" w:cs="Times New Roman" w:eastAsia="Times New Roman" w:hAnsi="Times New Roman"/>
          <w:sz w:val="22"/>
          <w:szCs w:val="22"/>
        </w:rPr>
        <w:t xml:space="preserve">, 1 (1979).</w:t>
      </w:r>
    </w:p>
    <w:p>
      <w:pPr>
        <w:spacing w:after="120" w:line="240"/>
        <w:ind w:left="431" w:hanging="431"/>
      </w:pPr>
      <w:r>
        <w:rPr>
          <w:rFonts w:ascii="Times New Roman" w:cs="Times New Roman" w:eastAsia="Times New Roman" w:hAnsi="Times New Roman"/>
          <w:sz w:val="22"/>
          <w:szCs w:val="22"/>
        </w:rPr>
        <w:t xml:space="preserve">[42]</w:t>
      </w:r>
      <w:r>
        <w:rPr>
          <w:rFonts w:ascii="Times New Roman" w:cs="Times New Roman" w:eastAsia="Times New Roman" w:hAnsi="Times New Roman"/>
          <w:sz w:val="22"/>
          <w:szCs w:val="22"/>
        </w:rPr>
        <w:t xml:space="preserve"> E. F. Talantsev and J. L. Tallon, Universal self-field critical current for thin-film superconductors, </w:t>
      </w:r>
      <w:r>
        <w:rPr>
          <w:rFonts w:ascii="Times New Roman" w:cs="Times New Roman" w:eastAsia="Times New Roman" w:hAnsi="Times New Roman"/>
          <w:i/>
          <w:iCs/>
          <w:sz w:val="22"/>
          <w:szCs w:val="22"/>
        </w:rPr>
        <w:t xml:space="preserve">Nat. Commun.</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6</w:t>
      </w:r>
      <w:r>
        <w:rPr>
          <w:rFonts w:ascii="Times New Roman" w:cs="Times New Roman" w:eastAsia="Times New Roman" w:hAnsi="Times New Roman"/>
          <w:sz w:val="22"/>
          <w:szCs w:val="22"/>
        </w:rPr>
        <w:t xml:space="preserve">, 7820 (2015).</w:t>
      </w:r>
    </w:p>
    <w:p>
      <w:pPr>
        <w:spacing w:after="120" w:line="240"/>
        <w:ind w:left="431" w:hanging="431"/>
      </w:pPr>
      <w:r>
        <w:rPr>
          <w:rFonts w:ascii="Times New Roman" w:cs="Times New Roman" w:eastAsia="Times New Roman" w:hAnsi="Times New Roman"/>
          <w:sz w:val="22"/>
          <w:szCs w:val="22"/>
        </w:rPr>
        <w:t xml:space="preserve">[43]</w:t>
      </w:r>
      <w:r>
        <w:rPr>
          <w:rFonts w:ascii="Times New Roman" w:cs="Times New Roman" w:eastAsia="Times New Roman" w:hAnsi="Times New Roman"/>
          <w:sz w:val="22"/>
          <w:szCs w:val="22"/>
        </w:rPr>
        <w:t xml:space="preserve"> G. R. Stewart, Superconductivity in iron compounds, </w:t>
      </w:r>
      <w:r>
        <w:rPr>
          <w:rFonts w:ascii="Times New Roman" w:cs="Times New Roman" w:eastAsia="Times New Roman" w:hAnsi="Times New Roman"/>
          <w:i/>
          <w:iCs/>
          <w:sz w:val="22"/>
          <w:szCs w:val="22"/>
        </w:rPr>
        <w:t xml:space="preserve">Rev. Mod. Phys.</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83</w:t>
      </w:r>
      <w:r>
        <w:rPr>
          <w:rFonts w:ascii="Times New Roman" w:cs="Times New Roman" w:eastAsia="Times New Roman" w:hAnsi="Times New Roman"/>
          <w:sz w:val="22"/>
          <w:szCs w:val="22"/>
        </w:rPr>
        <w:t xml:space="preserve">, 1589 (2011).</w:t>
      </w:r>
    </w:p>
    <w:p>
      <w:pPr>
        <w:spacing w:after="120" w:line="240"/>
        <w:ind w:left="431" w:hanging="431"/>
      </w:pPr>
      <w:r>
        <w:rPr>
          <w:rFonts w:ascii="Times New Roman" w:cs="Times New Roman" w:eastAsia="Times New Roman" w:hAnsi="Times New Roman"/>
          <w:sz w:val="22"/>
          <w:szCs w:val="22"/>
        </w:rPr>
        <w:t xml:space="preserve">[44]</w:t>
      </w:r>
      <w:r>
        <w:rPr>
          <w:rFonts w:ascii="Times New Roman" w:cs="Times New Roman" w:eastAsia="Times New Roman" w:hAnsi="Times New Roman"/>
          <w:sz w:val="22"/>
          <w:szCs w:val="22"/>
        </w:rPr>
        <w:t xml:space="preserve"> J. Paglione and R. L. Greene, High-temperature superconductivity in iron-based materials, </w:t>
      </w:r>
      <w:r>
        <w:rPr>
          <w:rFonts w:ascii="Times New Roman" w:cs="Times New Roman" w:eastAsia="Times New Roman" w:hAnsi="Times New Roman"/>
          <w:i/>
          <w:iCs/>
          <w:sz w:val="22"/>
          <w:szCs w:val="22"/>
        </w:rPr>
        <w:t xml:space="preserve">Nat. Phys.</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6</w:t>
      </w:r>
      <w:r>
        <w:rPr>
          <w:rFonts w:ascii="Times New Roman" w:cs="Times New Roman" w:eastAsia="Times New Roman" w:hAnsi="Times New Roman"/>
          <w:sz w:val="22"/>
          <w:szCs w:val="22"/>
        </w:rPr>
        <w:t xml:space="preserve">, 645 (2010).</w:t>
      </w:r>
    </w:p>
    <w:p>
      <w:pPr>
        <w:spacing w:after="120" w:line="240"/>
        <w:ind w:left="431" w:hanging="431"/>
      </w:pPr>
      <w:r>
        <w:rPr>
          <w:rFonts w:ascii="Times New Roman" w:cs="Times New Roman" w:eastAsia="Times New Roman" w:hAnsi="Times New Roman"/>
          <w:sz w:val="22"/>
          <w:szCs w:val="22"/>
        </w:rPr>
        <w:t xml:space="preserve">[45]</w:t>
      </w:r>
      <w:r>
        <w:rPr>
          <w:rFonts w:ascii="Times New Roman" w:cs="Times New Roman" w:eastAsia="Times New Roman" w:hAnsi="Times New Roman"/>
          <w:sz w:val="22"/>
          <w:szCs w:val="22"/>
        </w:rPr>
        <w:t xml:space="preserve"> G. E. Karniadakis, I. G. Kevrekidis, L. Lu, P. Perdikaris, S. Wang, and L. Yang, Physics-informed machine learning, </w:t>
      </w:r>
      <w:r>
        <w:rPr>
          <w:rFonts w:ascii="Times New Roman" w:cs="Times New Roman" w:eastAsia="Times New Roman" w:hAnsi="Times New Roman"/>
          <w:i/>
          <w:iCs/>
          <w:sz w:val="22"/>
          <w:szCs w:val="22"/>
        </w:rPr>
        <w:t xml:space="preserve">Nat. Rev. Phys.</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3</w:t>
      </w:r>
      <w:r>
        <w:rPr>
          <w:rFonts w:ascii="Times New Roman" w:cs="Times New Roman" w:eastAsia="Times New Roman" w:hAnsi="Times New Roman"/>
          <w:sz w:val="22"/>
          <w:szCs w:val="22"/>
        </w:rPr>
        <w:t xml:space="preserve">, 422 (2021).</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576"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Times New Roman" w:cs="Times New Roman" w:eastAsia="Times New Roman" w:hAnsi="Times New Roman"/>
      <w:b/>
      <w:bCs/>
      <w:color w:val="000000"/>
      <w:sz w:val="24"/>
      <w:szCs w:val="24"/>
    </w:rPr>
  </w:style>
  <w:style w:type="paragraph" w:styleId="Heading2">
    <w:name w:val="Heading 2"/>
    <w:basedOn w:val="Normal"/>
    <w:next w:val="Normal"/>
    <w:qFormat/>
    <w:rPr>
      <w:rFonts w:ascii="Times New Roman" w:cs="Times New Roman" w:eastAsia="Times New Roman" w:hAnsi="Times New Roman"/>
      <w:b/>
      <w:bCs/>
      <w:i w:val="false"/>
      <w:iCs w:val="false"/>
      <w:color w:val="000000"/>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24ea695dcf031da35a47b193dbb02b6ecdd5a2c8.png"/><Relationship Id="rId9" Type="http://schemas.openxmlformats.org/officeDocument/2006/relationships/image" Target="media/4bb9610bbd2d1bc03ba609df25ff9e0107feb0ef.png"/><Relationship Id="rId10" Type="http://schemas.openxmlformats.org/officeDocument/2006/relationships/image" Target="media/3dc514a50ac7c96dd392cc226e22e9c4a2999c79.png"/><Relationship Id="rId11" Type="http://schemas.openxmlformats.org/officeDocument/2006/relationships/image" Target="media/ba5879ec8a0d31450da11ecfcac5256492dfe7d5.png"/><Relationship Id="rId12" Type="http://schemas.openxmlformats.org/officeDocument/2006/relationships/image" Target="media/ad7e70672d769313d2aa9207701a11fd21f18804.png"/><Relationship Id="rId13"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2026-08-26T14:22:05.866Z</dcterms:created>
  <dcterms:modified xsi:type="dcterms:W3CDTF">2026-08-26T14:22:05.890Z</dcterms:modified>
</cp:coreProperties>
</file>

<file path=docProps/custom.xml><?xml version="1.0" encoding="utf-8"?>
<Properties xmlns="http://schemas.openxmlformats.org/officeDocument/2006/custom-properties" xmlns:vt="http://schemas.openxmlformats.org/officeDocument/2006/docPropsVTypes"/>
</file>