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 labels,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The conditioning claim no longer rests on this ratio at all, and we have to be careful about what we move it onto. An earlier version of this reply rested it on the variance-decomposition diagnostic. That will not do, because we concede above that the diagnostic cannot establish the regime distinction it is used to draw: sample form is very nearly a relabelling of source paper in this corpus, and under the only null that respects that structure no family cell can reach a probability below 0.10.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What the claim rests on is the temperature axis, and the evidence is the permutation test reported under the changes we made on our own, below: with source papers as the unit and the substructure label shuffled between them, the family accounts for a rising fraction of the between-paper variance in the temperature exponent as the anchors are corrected, while on the field axis it accounts for essentially none under either version. We do not restate those figures here. The point for this objection is only that the conditioning claim is a temperature-axis claim, that it is the one result in this paper that improved under every correction we made, and that neither the ratio the referee questioned nor the sample-form diagnostic is load-bearing for it.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