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The prior question is therefore not how to predict but which measurements may be compared, and whether the scale used to normalize them was measured on the same specimen. We introduce a substructure- and sample-form-conditioned framework built from 50 source papers that contribute fitted critical-current curves, covering 35 compound labels and 3303 extracted data points drawn from a screened retrieval corpus of 934 articles. Each fitted curve keeps the experimental context of its measurement, is anchored to a transition temperature and an upper critical field whose provenance is recorded, and contributes its exponents only within a scope the data support; every prediction target then passes explicit refusal gates or is refused with a reason. Three findings survive. Universal reduced-variable scaling does not organize this corpus: normalizing temperature and field by their critical values reduces the within-bin standard deviation of log10 Jc by only 13.0%, a variance-scale reduction of 24.3%, the result is unchanged under a 35% perturbation of the estimated critical fields, and on a point-level rebuild the reduced coordinates carry no more structure than the same grid rotated to a random angle. Substructure family does separate the temperature exponent, accounting for 0.524 of the between-paper variance at a permutation probability of 0.007, and it survives on exponents rebuilt independently from the source figures, at 0.359 and 0.037. And generalization across unseen source papers is poor for all three tested parameterizations on the eight compounds drawing on more than one source: no form reaches a median error of 0.90 dex on an unseen paper, a factor of eight in critical current, against 0.32 to 0.39 dex when the withheld measurements come from within a compound. A variance-decomposition diagnostic sets the conditioning rule family by family, and on the repaired anchor cohort sample form explains 81%, 37% and 4% of the within-family variance in the critical-current anchor for the iron chalcogenide 11-type, iron pnictide 122-type and MgB2 classes; because sample form is very nearly a relabelling of source paper here, those ratios define an operational rule rather than an established sample-form effect, and we state the measurement that would establish one. The framework emits family-scope critical-current envelopes with bootstrap uncertainty together with an explicit refusal decision for every candidate and target, and carries the validation behind each: three families clear the compound leave-one-out threshold on the temperature axis, no family-level verdict is reported on the field axis, and the one family that emits under the current gates is not assessable on the axis where the test can be run. Within a family the envelope is a single curve shared by all member candidates, so the output is a scope decision rather than a per-compound ranking. Establishing which measurements may be compared, and whether the scale that normalizes them was measured on the same specimen, applies to any AI-for-physics problem in which the measured property depends strongly on preparation route, sample geometry, or measurement protocol.</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That prior question has two halves, and this paper is organized around both. Which measurements may be compared with one another, and does the scale used to normalize them belong to the specimen that was measured? The first is a question about the comparison class and the second about provenance, and a literature-derived predictor that answers neither reports a number whose meaning cannot be traced. Section III.F reports what happens when the second is put to this corpus, and that answer is part of the result rather than a caveat on it. Our central contribution is a variance-decomposition diagnostic that answers the first.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 The size of the difficulty can be measured rather than asserted. Withholding every measurement of a source paper leaves no candidate functional form with a median error better than 0.90 dex, a factor of eight in critical current, where withholding measurements from within a compound leaves 0.32 to 0.39 dex, a factor of about two. Predicting an unseen paper and predicting an unseen measurement are not the same problem, and Section II.C reports the comparison in full.</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when the applicable refusal gates are satisfied, with axis-specific validation status carried with the output,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All 18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because its entries are not all of one kind.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the three forms give 0.903, 0.900 and 0.949 dex on the eight compounds drawing on more than one source, against 0.472, 0.322 and 0.323 under a point-level split on the same cohort. None reaches 0.90 dex on an unseen paper, and an error of that size is a factor of eight in critical current against a factor of about two within a compound. This is the most direct measurement in the paper of the heterogeneity the framework is built for, and the abstract and Section I state it as such.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The distinction carries weight at these magnitudes: a value such as 10.10 is a dimensionless exponent error, not ten orders of magnitude in current density.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The first question is whether the data support conditioning at all, and at which scope, so we begin with the aggregation the predictor performs and the diagnostic that chooses between its scopes. Aggregation across three scopes. Stage 1 classifies compounds by substructure and regresses the field exponent against a compositional descriptor.</w:t>
      </w:r>
      <w:r>
        <w:rPr>
          <w:rFonts w:ascii="Times New Roman" w:cs="Times New Roman" w:eastAsia="Times New Roman" w:hAnsi="Times New Roman"/>
          <w:sz w:val="24"/>
          <w:szCs w:val="24"/>
        </w:rPr>
        <w:t xml:space="preserve"> The regression is univariate ordinary least squares on the mean maximum Pauling electronegativity across seven substructure families, with leave-one-substructure-out validation; it is not a MAGPIE feature-vector model. The descriptor carries genuine but weak rank information. Over the seven families the descriptor table carries, the Spearman coefficient is 0.408 on the median field exponent, which is the quantity this stage regresses, and 0.593 on the mean.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A ratio of the two stage errors compares different cohorts unless they are matched, because Stage 1 scores every substructure family carrying a descriptor while Stage 2 scores only the families with populated sample-form cells.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because no defensible one exists on this cohort. The sample-form-conditional scope is undefined for the MgB2 class: once the cuprate families are removed no other family contributes a bulk or wire fit, so a conditional numerator covering four families would be divided by a three-family denominator, which is the mismatched-cohort defect this same paragraph identifies. There are also four ways of forming the conditional prediction, and the one that gives the smallest ratio is not the same one on every cohort.</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Its error has to be computed under genuine withholding, because a median that predicts a held-out family from a pool containing that family returns zero for two of its five terms by construction.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the regime drives the aggregation scope: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operational conditioning regime the predictor follows in this corpus, and not an independently established sample-form effect: sample form is very nearly a relabelling of source paper here, which Sec. III.A states with the exact probabilities that follow from it. Iron chalcogenide 11-type materials show the strongest separation, so the predictor conditions on sample form where the cell is populated. Iron pnictide 122-type materials show intermediate separation and are conditioned the same way where the cell allows. MgB2-class materials show weak separation, so the model uses substructure-level aggregation throughout.</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the quantity is an error in log10 Jc and not in the field exponent, and because the only in-corpus baseline available for comparison is on neither the same scale nor derivable from the deposit, so none is quoted.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It does not improve monotonically under the corrections, and we report both halves of it rather than the one that moves the right way: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report no family-level field verdict rather than replacing the published values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Having bounded applicability by family and by axis, we now ask whether any grouping is needed at all, by testing the alternative the literature usually assumes: that reduced variables collapse the corpus into a single law. The in-corpus ranking test comes first, because it establishes that the predictor carries rank signal before the collapse is tested against it. 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we can give no construction for an adoption bar to compare it against.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defines an operational conditioning regime in the present corpus.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the cross-family field-exponent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Inconclusive at the present corpus size and provenance quality. The comparison is unstable across cohorts, neither predictor is distinguishable from an unconditioned median, and no family-level field-axis verdict is retained.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Having identified the limits of family-level applicability, and having shown that no universal law replaces them, we finally test how refusal changes what the framework emits. 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105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and Table IV reports both counts.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The exponent scatter propagated here is the one on the repaired cohort. That family's temperature-axis fits give 1.171 on the exponent as deposited, over the 106 rows the deposited table holds for it, and 0.563 on the repaired exponent, over the 105 of those that carry one; the repaired exponent is what the 257-fit cohort and the rest of this paper use.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0.0085 dex, which is 1.4% of the 0.60 dex bootstrap interval at the same point; at 20 K and 5 T the 77 records covering 75 compounds span 0.254 dex. Both points clear the gates of this revision, at reduced temperatures of 0.10 to 0.70, the upper end reached at the 20 K point, and a reduced field of 0.3226. The family emits one value for every purpose the paper claims at the lower point, and this follows from the inference procedure of Section II.D.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0.0085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1.21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 Family-scope critical-current envelopes with axis-specific validation status, plotted across the range over which the exponents are validated.</w:t>
      </w:r>
      <w:r>
        <w:rPr>
          <w:rFonts w:ascii="Times New Roman" w:cs="Times New Roman" w:eastAsia="Times New Roman" w:hAnsi="Times New Roman"/>
          <w:sz w:val="20"/>
          <w:szCs w:val="20"/>
        </w:rPr>
        <w:t xml:space="preserve">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Every quantity above is only as well defined as the scales that normalize it, which is the second half of the question set out in Section I. 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published field-axis verdicts for iron pnictide 122-type and MgB2-class are withdrawn in Section III.C,</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as the conditioning variable the data separate, and sample form as one that defines an operational conditioning regime in the present corpus.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On the field axis the effect of conditioning is inconclusive at the present corpus size and provenance quality: the leave-one-substructure-out comparison is unstable across cohorts, neither predictor is distinguishable from an unconditioned median, and no family-level verdict is retained.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candidate dispatch table is the output of four scripts run in order, the predictor followed by the record withdrawals and the two clauses of the applicability window, and a fifth runs them and compares the result with the deposited file cell by cell.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