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Generalization across unseen source papers is poor for all three tested parameterizations, on the eight compounds that draw on more than one source. Under a holdout that withholds every measurement of a paper, none of the three candidate functional forms reaches a median error of 0.90 dex on those compounds, against 0.32 to 0.39 dex when the holdout is drawn within a compound. An error of 0.90 dex is a factor of eight in critical current, against a factor of about two within a compound. It is the heterogeneity this paper is about, measured a second way, and it now appears in the abstract and the introduction rather than only in the functional-form comparison.</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property bears on how the rest of this reply should be read. Every figure regenerates from the deposited data pixel for pixel, the candidate dispatch table regenerates cell for cell, and every printed count is asserted against the deposited tables by a script that ships with the paper. The corrections below are the output of that standard rather than a list of things we happened to notice.</w:t>
      </w:r>
    </w:p>
    <w:p>
      <w:pPr>
        <w:pStyle w:val="BodyText"/>
      </w:pPr>
      <w:r>
        <w:t xml:space="preserve">Each of the four survives the corrections below, and each is narrower than the claim it replaces. The conditioning claim rests on the temperature-axis separation of Sec. III.C, not on the variance-decomposition diagnostic and not on the error ratio Referee A questioned. The applicability claim is graded by family and by axis rather than uniform, field-axis results carry the scale that produced them, and the output is a family-scope envelope with a refusal decision rather than a per-compound ranking.</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one compound from one paper that differ only in processing atmosphere and span 0.26 dex. Table S5 gives fitted field-axis exponents beside both critical-field values, the resolved one used in the fit and the literature zero-temperature one, with the provenance of each. Table S6 gives candidate dispatch rows, including refused rows carrying their reason code and no value. We selected the rows to be useful rather than favourable: Table S5 includes the fits whose resolved scale sits far below the literature value and whose exponents run against the numerical bound, which are the fits that motivate the qualification in Sec. III.F.</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 comparison that motivated the choice, in which the alternative carrying an explicit temperature-dependent critical field reached 0.352 dex against 0.260 dex for the adopted form, reported now as an empirical trade rather than a physical justification. We motivate the expression from the reduced-scale logic of the Kramer and pinning-force descriptions rather than from Ginzburg-Landau theory, which Section II.C states with those forms as Eq. (3). The referee's objection holds either way, since a reduced-distance power law is an expansion near the critical scale whatever motivates it, and we do not read the fitted exponent as a pinning-mechanism exponent.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on 13 series and on the 6 sampled at four or more temperatures; as first deposited it was 0.70 on 18, so the effect is unchanged in direction and slightly larger. A series is one source paper, one sample and one held scale, which is what makes the scale held by construction. We withdraw the worked example we gave: its source prints its field axis in kilo-oersted and the extraction recorded the bare numbers as tesla, so its measured span is 0.053 of the assigned scale and all eight of its fits fail the 0.3 applicability bound, and its exponent was not monotone over the window we quoted in any case. The clearest surviving case is the Ba(Fe,Co)2As2 single crystal of Materials Today Physics 27 (2022) 100783, scale held at 4.5 T, whose exponent rises from 0.26 to 0.86 across nine temperatures from 4.2 to 18 K with a rank correlation of 1.00. We offer it as the best surviving illustration and not a clean one: our own audit grades it weak, and only two series in the surviving cohort clear our filters, both from that paper.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Eq. (1) admits a curve to the fit on the width of its measured field interval rather than on where a single point sits, so the two are not the same test; we apply the stricter reading to what we emit and say so. Assumption 1 states both, and Section III.E carries the second as a labelled limitation ahead of any dispatched value.</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 that upper critical fields in anisotropic superconductors are orientation-dependent, that for Fe(Te,Se) the reported values differ by more than a factor of two between the two principal orientations, and that orientation is captured as free text for 26 records but not propagated into the fits while several reference anchors are orientation resolved, so anchors and measurements are not guaranteed to describe the same field configuration. On current direction we concede rather than answer: the extraction does not record it relative to the crystal axes, so we cannot condition on it, and for the anisotropic families that is a limitation of the dataset rather than of the model.</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reads that as consistent with the two-band character of MgB2 and its documented sensitivity to production route, both acting through variables a sample-form label does not capture. We concede the test itself, separately from the result. Sample form is very nearly a relabelling of source paper here: one of the 29 contributing papers carried more than one sample form before the repair and none of the 20 does after it. Under a null that shuffles the form label between papers and holds each form's sample count fixed, which is the only null that respects that structure, the MgB2-class cell admits a single labelling and returns a probability of 1 however clean the separation, while the iron chalcogenide and 122-type cells admit four labellings and ten, with floors of 0.25 and 0.10. The diagnostic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Separately, and this is our error rather than a limit of the literature: 26 of the 96 anchor rows behind this diagnostic held values contradicting their source figures and are withdrawn, and 15 more carried a scale error and are corrected.</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and it changed a claim. Figure 5 is redrawn against reduced field over the window across which the exponent is validated, rather than against absolute field to 10 T where the reduced field reaches only about 0.2. The three evaluated fields all fall in the low-reduced-field corner, and across the validated range the envelopes are not parallel: the iron chalcogenide and 122-type curves cross at a reduced field of 0.58, above which the 122-type envelope is higher, by 0.69 dex at 0.9. Section III.E previously said the family ordering was unchanged at every evaluated field; that remains true of the three evaluated fields, and the text now says so in those terms and reports the crossing beside it. The screening claim is limited to low reduced field. Since the crossing follows from the fitted field exponents and the critical-field anchors, the two quantities Section III.F qualifies, we report it to bound that claim and not as a prediction that the 122-type family overtakes the 11-type in high field. We would not have seen it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and this revision's reduced-field gate has narrowed what there is to report: only the MgB2 class still dispatches. A count needs correcting first. The dispatch emits at two grid points, not one: 4.2 K and 5 T, where 86 records cover 84 compounds, and 20 K and 5 T, where 77 cover 75, both clearing this revision's gates at reduced temperatures of 0.10 to 0.70 and a reduced field of 0.3226. The wording that said one grid point came from an assertion that checks a single field is emitted, which is true. At 4.2 K and 5 T the 86 records span 0.0085 dex, 1.4% of the 0.60 dex bootstrap interval there; at 20 K and 5 T the 77 records span 0.254 dex. At 20 K our explanation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the transition temperature cannot enter at all, and this is the part we had not seen. The model is anchored at a reference point whose temperature is 4.2 K, so the temperature term is the difference of a quantity from itself and is identically zero for every candidate; across 59 distinct anchors from 8.9 to 41.4 K the largest value it takes is exactly zero. Every dispatched record also carries the same 15.5 T parent anchor, so the field term is one shared number, and the prediction there is a single family-level constant of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and resampling that pool 84 times independently returns 0.0092 dex with a standard deviation of 0.0016. It is evidence that the predictor is constant at that point and evidence of nothing else, and we no longer offer it as a measured quantity. A compound-resolved spread would need a grid that does not evaluate at the anchor's own reference temperature.</w:t>
      </w:r>
      <w:r>
        <w:t xml:space="preserve"/>
      </w:r>
      <w:r>
        <w:t xml:space="preserve"/>
      </w:r>
      <w:r>
        <w:t xml:space="preserve"/>
      </w:r>
      <w:r>
        <w:t/>
      </w:r>
      <w:r/>
      <w:r/>
      <w:r/>
      <w:r/>
      <w:r/>
      <w:r/>
      <w:r/>
      <w:r/>
      <w:r/>
      <w:r/>
      <w:r/>
      <w:r/>
    </w:p>
    <w:p>
      <w:pPr>
        <w:pStyle w:val="BodyText"/>
      </w:pPr>
      <w:r>
        <w:t>On precision we have adopted the referee's correction and no longer carry a third digit where it carried no comparison; it is kept where errors are compared across families, since rounding to two would collapse distinctions the applicability table turns on. The width itself has changed. The 0.388 dex the referee read was the median before this revision's reduced-field gate; over the 163 surviving predictions it is 0.61 dex, a factor of about 4.1, and 0.60 dex at the 4.2 K grid point. We should say what that width is made of. On the three records carrying an exact critical-field anchor it is 0.398 dex and on the 83 carrying a parent anchor 0.602, the difference being a deterministic plus or minus 20 percent envelope on the parent anchor rather than bootstrap spread, so about a third of the quoted width is not sampling uncertainty. At the upper perturbation that envelope evaluates the model at a reduced field of 0.269, below the 0.3 bound this revision introduced, which we flag as a defect in the envelope rather than defend. We have also adopted the suggested gloss, giving the width as a factor in the critical current: about 4.1, with Table S2 carrying the conversion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figure of 50 now appears first in the main text, and the abstract leads with the smaller numbers rather than with 934. The referee is also right that the figure and the tables appear to disagree, and we should have labelled the difference: the markers in Figure 3 are per physical sample, with multiple isotherms of one specimen averaged into a single record, while the tables count per-curve fits. The caption now gives both the anchors falling in the three panels shown and the markers they collapse to.</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coming from nine substructure families and the smaller from the five with populated sample-form cells. Matching them removes that defect but not a worse one: in both, the predictor for a held-out family was built from a pool containing that family's own fits, so neither was a statement about generalization. Under leave-one-substructure-out we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once the cuprate families are gated out, so two of the three divide a four-family numerator by a three-family denominator. Nor is any such ratio stable at this scope. On the 52 field-axis fits surviving the anchor repairs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so we report the two errors and the family count rather than their quotient. The referee is further correct that the cuprates dominate the residual: Supplemental Sec. 1 reports 59% of the residual mass against 43% of the cohort, three cuprate substructures reaching the regression ceiling because their measured field windows lie far below the critical field. The same test found the mismatched-cohort error a second time: the 26.8% anchor-count reduction in Sec. III.B compared a three-compound one-anchor value against a four-compound three-anchor one, and the matched pair, 1.267 to 0.694, gives 45.2%, which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it cannot rest on the variance-decomposition diagnostic either,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That is also why Table III records the field axis as not validated at family level and reports no verdict for it. We had described the temperature result as the one that improved under every correction; the section below withdraws that description and gives the full history.</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two ways, five papers in the fitted cohort and four out-of-corpus cuprates as the external validation set where they show measurement-window saturation. We state it as a limit on the work rather than a gap to be filled later, and add the referee's point that these materials have critical fields higher than can be directly measured and a much stronger field-angle dependence. Extending the framework to them is not a matter of adding data: it would need a functional form appropriate to their pinning behaviour and an orientation-resolved treatment our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 caveat added to it. The abstract now says the framework emits family-scope envelopes with an explicit refusal decision, and that within a family the envelope is one curve shared by all member candidates; Section III.E demonstrates it with the counts above, Assumption 4 of Section III.F states it as a bound on inferential scope, and Figure 5's caption repeats it. We have removed the phrasing that could be read as a ranking of 183 candidates.</w:t>
      </w:r>
      <w:r>
        <w:t xml:space="preserve"/>
      </w:r>
      <w:r>
        <w:t xml:space="preserve"/>
      </w:r>
      <w:r>
        <w:t xml:space="preserve"/>
      </w:r>
      <w:r>
        <w:t xml:space="preserve"/>
      </w:r>
      <w:r>
        <w:t xml:space="preserve"/>
      </w:r>
      <w:r>
        <w:t xml:space="preserve"/>
      </w:r>
      <w:r>
        <w:t xml:space="preserve"/>
      </w:r>
      <w:r>
        <w:t xml:space="preserve"/>
      </w:r>
      <w:r>
        <w:t xml:space="preserve"/>
      </w:r>
      <w:r>
        <w:t/>
      </w:r>
      <w:r>
        <w:t xml:space="preserve"/>
      </w:r>
      <w:r>
        <w:t xml:space="preserve"/>
      </w:r>
      <w:r>
        <w:t xml:space="preserve"/>
      </w:r>
      <w:r>
        <w:t xml:space="preserve"/>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and the earlier text invited that reading. There is one model and three prediction scopes over the same fitted exponents, which Section II.D now states under the heading Three scopes, not three models. Stage 1 regresses the exponent against a compositional descriptor and serves for rank signal and substructure classification, not as a final predictor. Stage 2 takes the median exponent within a (substructure, sample form) cell when the candidate's form is known and that cell is populated. Stage 3 takes the substructure-level median with the within-family interquartile range as uncertainty, when the form is unknown or the cell is too sparse, and the variance-decomposition diagnostic decides family by family whether Stage 2 is justified at all. What differs is the scope over which the same quantities are aggregated, not the class of model.</w:t>
      </w:r>
      <w:r>
        <w:t xml:space="preserve"/>
      </w:r>
      <w:r>
        <w:t xml:space="preserve"/>
      </w:r>
      <w:r>
        <w:t xml:space="preserve"/>
      </w:r>
      <w:r>
        <w:t xml:space="preserve"/>
      </w:r>
      <w:r>
        <w:t xml:space="preserve"/>
      </w:r>
      <w:r>
        <w:rPr>
          <w:iCs/>
          <w:i/>
        </w:rP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and Section II.D now writes it out as a numbered procedure. For a candidate with no critical-current measurements: assign the substructure family from stoichiometry and crystal system, refusing if it is unpopulated or ambiguous; obtain the transition-temperature anchor, and the critical-field anchor if a field-axis target is requested, refusing that target if it is unavailable; require at least three anchor measurements; read the variance-decomposition regime for the family to select Stage 2 or Stage 3; take the median parameters from that cell; evaluate the expression and propagate uncertainty by quadrature over the three fitted terms; and apply the remaining gates, refusing with a reason code if any fails. The procedure closes by noting that the parameter and evaluation steps use family-level quantities only, which is why we withhold per-compound rankings.</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and we now name the model rather than leaving it to be inferred: Section III.A states that the Stage 1 regression is a univariate ordinary least squares fit on the mean maximum Pauling electronegativity across seven substructure families with leave-one-substructure-out validation. The Spearman coefficient of 0.635 with its interval from 0.061 to 0.948 that an earlier version of this reply quoted is withdrawn: it was computed on a nine-family descriptor table and on the mean field exponent where this stage regresses the median, and on the seven families that remain no interval can be estimated tightly enough to be worth quoting. We report instead the quantity this stage was validated on, its rank-position error of 1.00 with six of seven families placed within one position, which is why Stage 1 is retained for ranking and classification rather than for magnitude.</w:t>
      </w:r>
      <w:r>
        <w:t xml:space="preserve"/>
      </w:r>
      <w:r>
        <w:t/>
      </w:r>
      <w:r/>
      <w:r>
        <w:t xml:space="preserve"/>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with the intercept and the dex convention: a scaling exponent is the fitted power to which the reduced distance from a critical scale is raised, and it is dimensionless. The question also exposed a second problem. The manuscript used one symbol for the field exponent while the analysis realized it against two definitions of the critical scale, which Section II.C now separates under the heading Two implementations of the field-axis critical scale. The two are identical for the 61 of 159 fits that fall back to the literature default; for the 98 where a paper-derived value was resolved, that value is a median factor of 6.4 smaller. Every result in Section III is labelled with the implementation that produced it.</w:t>
      </w:r>
      <w:r>
        <w:t xml:space="preserve"/>
      </w:r>
      <w:r>
        <w:t xml:space="preserve"/>
      </w:r>
      <w:r>
        <w:t xml:space="preserve"/>
      </w:r>
      <w:r>
        <w:t xml:space="preserve"/>
      </w:r>
      <w:r>
        <w:t xml:space="preserve"/>
      </w:r>
      <w:r>
        <w:t xml:space="preserve"/>
      </w:r>
      <w:r>
        <w:t xml:space="preserve"/>
      </w:r>
      <w:r>
        <w:rPr>
          <w:iCs/>
          <w:i/>
        </w:rPr>
        <w:t xml:space="preserve"/>
      </w:r>
      <w:r>
        <w:rPr>
          <w:iCs/>
          <w:i/>
        </w:rPr>
        <w:t xml:space="preserve"/>
      </w:r>
      <w:r>
        <w:rPr>
          <w:iCs/>
          <w:i/>
        </w:rPr>
        <w:t xml:space="preserve"/>
      </w:r>
      <w:r>
        <w:t/>
      </w:r>
      <w:r/>
      <w:r/>
      <w:r/>
      <w:r>
        <w:t xml:space="preserve"/>
      </w:r>
      <w:r>
        <w:t xml:space="preserve"/>
      </w:r>
      <w:r>
        <w:t xml:space="preserve"/>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workflow is now six stages, redrawn as a vertical flow in which every arrow is labelled with what it carries and the critical-scale resolution stage is shown explicitly with its provenance tiers.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r>
        <w:t xml:space="preserve">We report these because they matter to the results, and because a referee would reasonably ask why several numbers have moved. Section 17 of the Supplemental Material carries the trace with the evidence for each finding; below is what it found and what it changed.</w:t>
      </w:r>
    </w:p>
    <w:p>
      <w:r>
        <w:t xml:space="preserve">Tracing Referee A's two observations led to a retrospective audit of the critical-field scale. Sixteen field-axis papers were read independently by two vision-language models of a later generation than the pair used for extraction. For eight of the sixteen, both models reported that the paper contains no plot of critical field against temperature, while the pipeline held extracted values for all eight. Across the cohort the assigned scale barely exceeds the largest field measured on the curve it anchors, at a median ratio of 0.88, which is how a scale read from a curve endpoint behaves and not how an independently measured critical field behaves. We attempted a rebuild against a temperature-resolved scale and could not complete it: of 29 candidate papers read and span-tested, only the MgB2 class clears the three-paper threshold we set beforehand, and the 122-type family, which needed the evidence most, yielded nothing. We report that as a finding rather than an obstacle, since it is the comparability principle of this paper applied one level down.</w:t>
      </w:r>
    </w:p>
    <w:p>
      <w:r>
        <w:t xml:space="preserve">Continuing that audit turned up five further defects, four of them in places we had not looked. Eleven papers were withdrawn from the temperature-axis cohort after we opened their figures, and one table was not updated with them, so Table I was internally inconsistent and the extracted-point count was overstated by 843. The transition-temperature anchor is a lookup table with per-substructure defaults rather than the paper-reported value the deposit labels it; six of the eighteen temperature-axis papers are wrong by 5 K or more, and we have replaced every anchor we could check with the value the paper prints. The applicability window was imposed on the temperature axis and not the field axis, where nineteen of the 94 fits sat above the stated bound; it is now applied to both, and we say plainly that its field clause contains nothing independent of its own scale. The extracted curves carry four to twenty times less interaction between the temperature and field dependences than pixel traces of the same printed figures, which is why the field exponent carries the qualification it does. And the deposited prediction file did not reproduce from its own generator, and now does: a scope rule had been applied to the file and never written into the code, and three of the four scripts producing the table were named nowhere. One script now runs all four and compares the result with the released file cell by cell. Regenerating moved the spread at 4.2 K and 5 T from 0.0098 dex to 0.0085 and at 20 K and 5 T from 0.259 to 0.254, and changed nothing else.</w:t>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withdraw the description of this as a result that strengthened under every correction, because the full history does not support it. Three things belong beside the number. Before the eleven paper withdrawals there is no separation at all, at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And the exponents do not reproduce from their own figures: of the fourteen we could score against a pixel trace none does, at a median ratio of 0.42, though on the exponents rebuilt from those traces the separation survives at 0.359 with a probability of 0.037 while the applicability result does not. What we can defend is narrower than what we first wrote and is tested harder. The obvious objection to a family label is that it is compound identity with fewer labels, and enumeration settles it: the eight compounds admit 966 ways of forming three families, four reach the observed separation, and the exact probability is 0.0041.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Our final reproducibility audit identified the following additional inconsistencies; all have been corrected and are now covered by automated consistency checks.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on the repaired exponent it is 0.27 dex, and the accompanying claim that a correlation between the terms would make it a lower bound is wrong for this functional form, so we claim no bound. Table II's holdout margin does not separate Form 3 from Form 2 once the three forms are scored on identical rows and compounds, so Sec. II.C adopts Form 3 for the separability the rest of the paper requires and reports the comparison as it falls. And the per-family parameters behind Figure 5 could not be regenerated at all, because the module producing them fitted them to the predictor's own output; they are now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The same audit also reached the following. The MgB2-class compound leave-one-out error is 0.753 rather than 0.772, the universal scaling reduction is 13.0% on the standard-deviation scale rather than 14.1%, and the external anchor-count errors are labelled in dex rather than as dimensionless exponent errors. The fifteen MgB2 temperature fits are described as the deposited file has them: six rest on three points rather than one, and the fit we reported with a root-mean-square residual of 6.3 has one of 6.3 times ten to the minus fourteen. The 233 evaluated records and the 212 retained after the calibration screen are record counts covering 183 distinct compounds. Section III.A applied a clustered null holding the sample-form counts fixed to two families and a looser one to the third, which made the MgB2-class floor read as 0.33; under the same null, that family admits one labelling and its probability is identically 1, so the caveat we make there is stronger than we stated it. Four places said the framework refuses to predict outside its validated scope, which our own conclusion contradicted two sentences later: the gates test a target against the calibrated window, and nothing refuses a family that could not be assessed, which is the family that emits. Supplemental Sec. 9 gave the iron chalcogenide family 55 candidates against Table IV's 49, and both gave it seven paper-reported anchors beside 24 reference-table ones, more anchors than the family has compounds; the deposit gives five. Supplemental Sec. 12 compared prediction scopes on 53 and 37 non-refused candidates at 1 T, where the deposited file has none in any family; we withdraw it rather than recompute it, since the families it ran on emit nothing and the one that emits was excluded by construction. The paragraph under Table S6 read a field span off a candidate refused at all nine of its grid points. And two counts were quoted on the cohort as deposited inside sentences quoting the repaired one: the 122-type family carries 105 temperature-axis fits rather than 106, and the temperature-axis cohort comes from 18 source papers, all arXiv preprints, rather than 18 of 20. Two values the submitted manuscript carried are withdrawn and recorded here rather than in the paper: the in-corpus baseline of 0.567 that Sec. III.B compared the 1.592 dex one-anchor error against, which is neither derivable from the deposit nor on the same scale, and the family medians of 6.00, 5.75 and 5.32 in log10 Jc at 0.1 T that Sec. III.E reported with a top-quartile slice entirely of iron chalcogenide 11-type, every prediction behind which this revision's reduced-field gate refuses.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