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Referees</w:t>
      </w:r>
    </w:p>
    <w:p>
      <w:pPr>
        <w:pStyle w:val="BodyText"/>
      </w:pPr>
      <w:r>
        <w:t xml:space="preserve">Manuscript HT10016/Poddar,</w:t>
      </w:r>
      <w:r>
        <w:t xml:space="preserve"> </w:t>
      </w:r>
      <w:r>
        <w:rPr>
          <w:iCs/>
          <w:i/>
        </w:rPr>
        <w:t xml:space="preserve">Substructure-Conditional Critical Current Density Prediction from Heterogeneous Superconductor Literature</w:t>
      </w:r>
    </w:p>
    <w:p>
      <w:pPr>
        <w:pStyle w:val="BodyText"/>
      </w:pPr>
      <w:r>
        <w:t xml:space="preserve">Dear Editors,</w:t>
      </w:r>
    </w:p>
    <w:p>
      <w:pPr>
        <w:pStyle w:val="BodyText"/>
      </w:pPr>
      <w:r>
        <w:t xml:space="preserve">We thank both referees for their close reading of the physics. Two of Referee A’s</w:t>
      </w:r>
      <w:r>
        <w:t xml:space="preserve"> </w:t>
      </w:r>
      <w:r>
        <w:t xml:space="preserve">observations changed the paper itself, not only its wording. The first is that the upper</w:t>
      </w:r>
      <w:r>
        <w:t xml:space="preserve"> </w:t>
      </w:r>
      <w:r>
        <w:t xml:space="preserve">critical field depends on temperature, so the separation of the temperature and field terms</w:t>
      </w:r>
      <w:r>
        <w:t xml:space="preserve"> </w:t>
      </w:r>
      <w:r>
        <w:t xml:space="preserve">in our expression is not guaranteed. The second is that the predicted field dependence in</w:t>
      </w:r>
      <w:r>
        <w:t xml:space="preserve"> </w:t>
      </w:r>
      <w:r>
        <w:t xml:space="preserve">Figure 5 looked too weak. We took both as reason to examine the critical-field scale rather</w:t>
      </w:r>
      <w:r>
        <w:t xml:space="preserve"> </w:t>
      </w:r>
      <w:r>
        <w:t xml:space="preserve">than to defend the figure. That examination found defects in the field axis, which we now</w:t>
      </w:r>
      <w:r>
        <w:t xml:space="preserve"> </w:t>
      </w:r>
      <w:r>
        <w:t xml:space="preserve">report in full.</w:t>
      </w:r>
    </w:p>
    <w:p>
      <w:pPr>
        <w:pStyle w:val="BodyText"/>
      </w:pPr>
      <w:r>
        <w:t>What the paper establishes</w:t>
      </w:r>
    </w:p>
    <w:p>
      <w:pPr>
        <w:pStyle w:val="BodyText"/>
      </w:pPr>
      <w:r>
        <w:t>The reply below is long and is organized around the referees' objections rather than around the results, so we state the results here first. The paper makes four claims and each is stated with the evidence that carries it.</w:t>
      </w:r>
    </w:p>
    <w:p>
      <w:pPr>
        <w:pStyle w:val="BodyText"/>
      </w:pPr>
      <w:r>
        <w:t>Universal reduced-variable scaling does not organize this corpus. Normalizing temperature and field by their critical values reduces the within-bin scatter of log10 Jc by 13.0% on the standard-deviation scale and 24.3% on the variance scale, and two direct tests say the same without reference to any threshold: the reduced coordinates carry no more structure than the same grid rotated to a random angle, and unnormalized laboratory temperature and applied field organize the same records better, 67.0% against 39.3%, by isolating compounds rather than collapsing them.</w:t>
      </w:r>
    </w:p>
    <w:p>
      <w:pPr>
        <w:pStyle w:val="BodyText"/>
      </w:pPr>
      <w:r>
        <w:t>Substructure family separates the temperature exponent. With source papers as the unit and the family label shuffled between them, the family accounts for 0.524 of the between-paper variance at a permutation probability of 0.007. Against an exhaustive enumeration of every alternative way of grouping the same eight compounds into three families, 966 in all, the exact probability is 0.0041. It survives on exponents rebuilt independently from the source figures, at 0.359 and 0.037.</w:t>
      </w:r>
    </w:p>
    <w:p>
      <w:pPr>
        <w:pStyle w:val="BodyText"/>
      </w:pPr>
      <w:r>
        <w:t>Generalization across unseen source papers is poor for all three tested parameterizations, on the eight compounds that draw on more than one source. Under a holdout that withholds every measurement of a paper, none of the three candidate functional forms reaches a median error of 0.90 dex on those compounds, against 0.32 to 0.39 dex when the holdout is drawn within a compound. An error of 0.90 dex is a factor of eight in critical current, against a factor of about two within a compound. It is the heterogeneity this paper is about, measured a second way, and it now appears in the abstract and the introduction rather than only in the functional-form comparison.</w:t>
      </w:r>
    </w:p>
    <w:p>
      <w:pPr>
        <w:pStyle w:val="BodyText"/>
      </w:pPr>
      <w:r>
        <w:t>The framework declines to predict outside the window its exponents were calibrated over, and labels every value it does emit with the validation behind it. Of the targets it was asked for, 1054 are refused for lying below the calibrated reduced field and 93 for lying at or above the reduced-temperature bound, leaving 163 emitted over 84 compounds. We are explicit about what the gates do not do. They test a target against that window, and on the field axis they refuse a family that failed validation, but nothing refuses a family that could not be assessed. That is the family which emits: MgB2-class carries no fits in the temperature-axis cohort, so the compound leave-one-out test cannot be run on it. The emitted values say so.</w:t>
      </w:r>
    </w:p>
    <w:p>
      <w:pPr>
        <w:pStyle w:val="BodyText"/>
      </w:pPr>
      <w:r>
        <w:t>One property bears on how the rest of this reply should be read. Every figure regenerates from the deposited data pixel for pixel, the candidate dispatch table regenerates cell for cell, and every printed count is asserted against the deposited tables by a script that ships with the paper. The corrections below are the output of that standard rather than a list of things we happened to notice.</w:t>
      </w:r>
    </w:p>
    <w:p>
      <w:pPr>
        <w:pStyle w:val="BodyText"/>
      </w:pPr>
      <w:r>
        <w:t xml:space="preserve">Each of the four survives the corrections below, and each is narrower than the claim it replaces. The conditioning claim rests on the temperature-axis separation of Sec. III.C, not on the variance-decomposition diagnostic and not on the error ratio Referee A questioned. The applicability claim is graded by family and by axis rather than uniform, field-axis results carry the scale that produced them, and the output is a family-scope envelope with a refusal decision rather than a per-compound ranking.</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We have followed one rule throughout. Where a criticism bears on the diagnostic itself,</w:t>
      </w:r>
      <w:r>
        <w:t xml:space="preserve"> </w:t>
      </w:r>
      <w:r>
        <w:t xml:space="preserve">which is the paper’s contribution, we tested it and report what we found. Elsewhere we have</w:t>
      </w:r>
      <w:r>
        <w:t xml:space="preserve"> </w:t>
      </w:r>
      <w:r>
        <w:t xml:space="preserve">conceded rather than argued, including at several points the referees did not raise and we</w:t>
      </w:r>
      <w:r>
        <w:t xml:space="preserve"> </w:t>
      </w:r>
      <w:r>
        <w:t xml:space="preserve">found on our own. The paper is narrower as a result.</w:t>
      </w:r>
    </w:p>
    <w:p>
      <w:pPr>
        <w:pStyle w:val="BodyText"/>
      </w:pPr>
      <w:r>
        <w:t xml:space="preserve">We answer each point below.</w:t>
      </w:r>
    </w:p>
    <w:p>
      <w:pPr>
        <w:pStyle w:val="BodyText"/>
      </w:pPr>
      <w:r>
        <w:rPr>
          <w:bCs/>
          <w:b/>
        </w:rPr>
        <w:t xml:space="preserve">Referee A</w:t>
      </w:r>
    </w:p>
    <w:p>
      <w:pPr>
        <w:pStyle w:val="BodyText"/>
      </w:pPr>
      <w:r>
        <w:rPr>
          <w:iCs/>
          <w:i/>
        </w:rPr>
        <w:t xml:space="preserve">It would be much easier for a referee to assess your paper if at least some examples from</w:t>
      </w:r>
      <w:r>
        <w:rPr>
          <w:iCs/>
          <w:i/>
        </w:rPr>
        <w:t xml:space="preserve"> </w:t>
      </w:r>
      <w:r>
        <w:rPr>
          <w:iCs/>
          <w:i/>
        </w:rPr>
        <w:t xml:space="preserve">this dataset were provided.</w:t>
      </w:r>
    </w:p>
    <w:p>
      <w:pPr>
        <w:pStyle w:val="BodyText"/>
      </w:pPr>
      <w:r>
        <w:t xml:space="preserve">The data and the analysis code are now public at https://github.com/prachetpoddar/HT10016-critical-current-prediction, so the referee can read the tables and rerun the scripts while assessing the paper. We agree this belonged in the revision rather than deferred to publication. The Data Availability statement now specifies a deposit containing curve-level metadata, fitted exponents, anchor values with their provenance tier, substructure and sample-form labels, validation splits, refusal flags, and the candidate prediction table. Critical-field records additionally carry the identifier and the type of the source figure from which each value was read, which is what makes the provenance problem described below independently checkable rather than something the reader must take on trust. Section 13 of the Supplemental Material reports that audit with its counts, and Section 11 with Table S1 links every fitted exponent that enters the analysis to an auditable literature record. The corpus enumeration behind the field-axis discussion is deposited as a per-paper table covering the archived corpus.</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We have also brought examples into the Supplemental Material itself, so that the referee can see the data without downloading the deposit. New Section 15 reproduces rows verbatim from three files, and opens with Fig. S1, which plots the extracted curve, the fitting window and the resulting fit for one retained record, one that runs to the applicability bound, and one we withdrew, so that the three outcomes can be compared directly. Table S4 gives curve-level anchor records, one row per physical sample per paper, including five bulk specimens of one compound from one paper that differ only in processing atmosphere and span 0.26 dex. Table S5 gives fitted field-axis exponents beside both critical-field values, the resolved one used in the fit and the literature zero-temperature one, with the provenance of each. Table S6 gives candidate dispatch rows, including refused rows carrying their reason code and no value. We selected the rows to be useful rather than favourable: Table S5 includes the fits whose resolved scale sits far below the literature value and whose exponents run against the numerical bound, which are the fits that motivate the qualification in Sec. III.F.</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It takes some time to become familiar with the vocabulary, which is somewhat specific to</w:t>
      </w:r>
      <w:r>
        <w:rPr>
          <w:iCs/>
          <w:i/>
        </w:rPr>
        <w:t xml:space="preserve"> </w:t>
      </w:r>
      <w:r>
        <w:rPr>
          <w:iCs/>
          <w:i/>
        </w:rPr>
        <w:t xml:space="preserve">statistics. An anchor would simply be a pre-exponential factor in condensed-matter physics.</w:t>
      </w:r>
      <w:r>
        <w:rPr>
          <w:iCs/>
          <w:i/>
        </w:rPr>
        <w:t xml:space="preserve"> </w:t>
      </w:r>
      <w:r>
        <w:rPr>
          <w:iCs/>
          <w:i/>
        </w:rPr>
        <w:t xml:space="preserve">For a wider readership it would be good to explain these statistical terms.</w:t>
      </w:r>
    </w:p>
    <w:p>
      <w:pPr>
        <w:pStyle w:val="BodyText"/>
      </w:pPr>
      <w:r>
        <w:t xml:space="preserve">Section II.C now defines the scaling exponent, the two exponents, and the intercept at first use, and states that an exponent is a dimensionless number. The referee is right that identifying the anchor with the pre-exponential factor is a connection we should have made. Section III opens with two conventions: errors in a fitted exponent are dimensionless, and only errors in the logarithm of the critical current are quoted in dex. Table S2 of the Supplemental Material now gives the condensed-matter reading of every term the referee lists, including the anchor as the pre-exponential factor, the substructure as a material family, the cell as a group of comparable specimens, and dex as a factor of ten. We have signposted that table where the vocabulary first becomes dense.</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The formula, derived from the Ginzburg-Landau model, does not work well over the full</w:t>
      </w:r>
      <w:r>
        <w:rPr>
          <w:iCs/>
          <w:i/>
        </w:rPr>
        <w:t xml:space="preserve"> </w:t>
      </w:r>
      <w:r>
        <w:rPr>
          <w:iCs/>
          <w:i/>
        </w:rPr>
        <w:t xml:space="preserve">ranges of T and H. It is an expansion around Tc and Hc, while the authors use it far from</w:t>
      </w:r>
      <w:r>
        <w:rPr>
          <w:iCs/>
          <w:i/>
        </w:rPr>
        <w:t xml:space="preserve"> </w:t>
      </w:r>
      <w:r>
        <w:rPr>
          <w:iCs/>
          <w:i/>
        </w:rPr>
        <w:t xml:space="preserve">these limits. At low temperatures the observed dependence is exponential or stretched</w:t>
      </w:r>
      <w:r>
        <w:rPr>
          <w:iCs/>
          <w:i/>
        </w:rPr>
        <w:t xml:space="preserve"> </w:t>
      </w:r>
      <w:r>
        <w:rPr>
          <w:iCs/>
          <w:i/>
        </w:rPr>
        <w:t xml:space="preserve">exponential rather than a power law, because thermal activation of vortices adds a term the</w:t>
      </w:r>
      <w:r>
        <w:rPr>
          <w:iCs/>
          <w:i/>
        </w:rPr>
        <w:t xml:space="preserve"> </w:t>
      </w:r>
      <w:r>
        <w:rPr>
          <w:iCs/>
          <w:i/>
        </w:rPr>
        <w:t xml:space="preserve">power function cannot represent. Additionally, Hc2 depends on temperature and separation of</w:t>
      </w:r>
      <w:r>
        <w:rPr>
          <w:iCs/>
          <w:i/>
        </w:rPr>
        <w:t xml:space="preserve"> </w:t>
      </w:r>
      <w:r>
        <w:rPr>
          <w:iCs/>
          <w:i/>
        </w:rPr>
        <w:t xml:space="preserve">the T and H terms is not guaranteed. Pinning regimes change with field and temperature. The</w:t>
      </w:r>
      <w:r>
        <w:rPr>
          <w:iCs/>
          <w:i/>
        </w:rPr>
        <w:t xml:space="preserve"> </w:t>
      </w:r>
      <w:r>
        <w:rPr>
          <w:iCs/>
          <w:i/>
        </w:rPr>
        <w:t xml:space="preserve">model may be more acceptable as an empirical parameterization over a restricted temperature</w:t>
      </w:r>
      <w:r>
        <w:rPr>
          <w:iCs/>
          <w:i/>
        </w:rPr>
        <w:t xml:space="preserve"> </w:t>
      </w:r>
      <w:r>
        <w:rPr>
          <w:iCs/>
          <w:i/>
        </w:rPr>
        <w:t xml:space="preserve">interval.</w:t>
      </w:r>
    </w:p>
    <w:p>
      <w:pPr>
        <w:pStyle w:val="BodyText"/>
      </w:pPr>
      <w:r>
        <w:t xml:space="preserve">The expression is an empirical parameterization over a restricted interval, which is what the applicability window enforces, and not a description valid to arbitrarily low temperature. That is the referee's closing sentence and it is now the paper's own position; we have restructured the treatment of the expression around it.</w:t>
      </w:r>
      <w:r>
        <w:t xml:space="preserve"/>
      </w:r>
      <w:r>
        <w:t xml:space="preserve"/>
      </w:r>
      <w:r>
        <w:t xml:space="preserve"/>
      </w:r>
      <w:r>
        <w:t xml:space="preserve"/>
      </w:r>
      <w:r>
        <w:t xml:space="preserve"/>
      </w:r>
      <w:r>
        <w:t xml:space="preserve"/>
      </w:r>
    </w:p>
    <w:p>
      <w:pPr>
        <w:pStyle w:val="BodyText"/>
      </w:pPr>
      <w:r>
        <w:t xml:space="preserve">Section II.C now states plainly that the field term uses a temperature-independent</w:t>
      </w:r>
      <w:r>
        <w:t xml:space="preserve"> </w:t>
      </w:r>
      <w:r>
        <w:t xml:space="preserve">zero-temperature critical field by design, and gives the Werthamer-Helfand-Hohenberg</w:t>
      </w:r>
      <w:r>
        <w:t xml:space="preserve"> </w:t>
      </w:r>
      <w:r>
        <w:t xml:space="preserve">dirty-limit relation as Eq. (4) so that the reader can see exactly what is being discarded.</w:t>
      </w:r>
      <w:r>
        <w:t xml:space="preserve"> </w:t>
      </w:r>
      <w:r>
        <w:t xml:space="preserve">We note that the WHH curve falls by roughly a factor of seven across the reduced-temperature</w:t>
      </w:r>
      <w:r>
        <w:t xml:space="preserve"> </w:t>
      </w:r>
      <w:r>
        <w:t xml:space="preserve">range this corpus spans, so the approximation is not a small one. Table II gives the holdout comparison that motivated the choice, in which the alternative carrying an explicit temperature-dependent critical field reached 0.352 dex against 0.260 dex for the adopted form, reported now as an empirical trade rather than a physical justification. We motivate the expression from the reduced-scale logic of the Kramer and pinning-force descriptions rather than from Ginzburg-Landau theory, which Section II.C states with those forms as Eq. (3). The referee's objection holds either way, since a reduced-distance power law is an expansion near the critical scale whatever motivates it, and we do not read the fitted exponent as a pinning-mechanism exponent.</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We also quantify the cost the referee anticipated. Assumption 1 of Section III.F reports that where a paper's critical scale was held fixed across measurement temperatures, the fitted field exponent drifts systematically with temperature. Across the series holding one scale over three or more temperatures the median absolute rank correlation between exponent and temperature is 0.80, on 13 series and on the 6 sampled at four or more temperatures; as first deposited it was 0.70 on 18, so the effect is unchanged in direction and slightly larger. A series is one source paper, one sample and one held scale, which is what makes the scale held by construction. We withdraw the worked example we gave: its source prints its field axis in kilo-oersted and the extraction recorded the bare numbers as tesla, so its measured span is 0.053 of the assigned scale and all eight of its fits fail the 0.3 applicability bound, and its exponent was not monotone over the window we quoted in any case. The clearest surviving case is the Ba(Fe,Co)2As2 single crystal of Materials Today Physics 27 (2022) 100783, scale held at 4.5 T, whose exponent rises from 0.26 to 0.86 across nine temperatures from 4.2 to 18 K with a rank correlation of 1.00. We offer it as the best surviving illustration and not a clean one: our own audit grades it weak, and only two series in the surviving cohort clear our filters, both from that paper. Over that range the exponent measures the misspecification rather than the pinning physics. The same assumption states the two further departures the referee identifies, the exponential or stretched-exponential low-temperature behaviour from thermal activation of vortices and the change of dominant pinning regime with field and temperature, which together mean a single exponent per axis describes an average over regimes rather than one mechanism.</w:t>
      </w:r>
      <w:r>
        <w:t xml:space="preserve"/>
      </w:r>
      <w:r>
        <w:t xml:space="preserve"/>
      </w:r>
      <w:r>
        <w:t xml:space="preserve"/>
      </w:r>
      <w:r>
        <w:t/>
      </w:r>
      <w:r/>
      <w:r/>
      <w:r/>
      <w:r/>
      <w:r/>
      <w:r/>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Our applicability window does not handle two things the referee's objection exposes, and rather than report the affected targets as predictions we now refuse them. The window bounds reduced temperature only from above, so it does not exclude the low-temperature regime at all, and our own worked example runs to 2 K while the dispatch reports at 4.2 K. And it requires reduced field above 0.3, which most of the dispatch grid did not meet. A per-point gate on each half of the window removed 1054 targets below the reduced-field bound and 93 at or above the reduced-temperature bound, leaving 163 emitted targets over 84 compounds, all at a reduced field of 0.3226. Eq. (1) admits a curve to the fit on the width of its measured field interval rather than on where a single point sits, so the two are not the same test; we apply the stricter reading to what we emit and say so. Assumption 1 states both, and Section III.E carries the second as a labelled limitation ahead of any dispatched value.</w:t>
      </w:r>
      <w:r>
        <w:t xml:space="preserve"/>
      </w:r>
      <w:r>
        <w:t xml:space="preserve"/>
      </w:r>
      <w:r>
        <w:t xml:space="preserve"/>
      </w:r>
      <w:r>
        <w:t xml:space="preserve"/>
      </w:r>
      <w:r>
        <w:t xml:space="preserve"/>
      </w:r>
      <w:r>
        <w:t/>
      </w:r>
      <w:r/>
      <w:r/>
      <w:r/>
      <w:r/>
      <w:r>
        <w:t xml:space="preserve"/>
      </w:r>
      <w:r>
        <w:t xml:space="preserve"/>
      </w:r>
      <w:r>
        <w:t xml:space="preserve"/>
      </w:r>
      <w:r>
        <w:t xml:space="preserve"/>
      </w:r>
    </w:p>
    <w:p>
      <w:pPr>
        <w:pStyle w:val="BodyText"/>
      </w:pPr>
      <w:r>
        <w:rPr>
          <w:iCs/>
          <w:i/>
        </w:rPr>
        <w:t xml:space="preserve">Field orientation and current direction are very important in these anisotropic compounds.</w:t>
      </w:r>
      <w:r>
        <w:rPr>
          <w:iCs/>
          <w:i/>
        </w:rPr>
        <w:t xml:space="preserve"> </w:t>
      </w:r>
      <w:r>
        <w:rPr>
          <w:iCs/>
          <w:i/>
        </w:rPr>
        <w:t xml:space="preserve">MgB2 has two-band behavior and a strong production dependence.</w:t>
      </w:r>
    </w:p>
    <w:p>
      <w:pPr>
        <w:pStyle w:val="BodyText"/>
      </w:pPr>
      <w:r>
        <w:t xml:space="preserve">Both points are now stated as limitations rather than left implicit. Section II.B records that upper critical fields in anisotropic superconductors are orientation-dependent, that for Fe(Te,Se) the reported values differ by more than a factor of two between the two principal orientations, and that orientation is captured as free text for 26 records but not propagated into the fits while several reference anchors are orientation resolved, so anchors and measurements are not guaranteed to describe the same field configuration. On current direction we concede rather than answer: the extraction does not record it relative to the crystal axes, so we cannot condition on it, and for the anisotropic families that is a limitation of the dataset rather than of the model.</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On MgB2 the referee's observation and our diagnostic agree, and after repairing the anchor table they agree more strongly than we first reported. Sample form now explains 4% of the within-family variance in this class rather than 12%, on 13 physical samples, against 81% for the iron chalcogenides on five, and corrected for the upward bias this statistic carries at small sample size the MgB2-class value is negative: the separation between sample forms here is smaller than the grouping produces by chance. Section III.A reads that as consistent with the two-band character of MgB2 and its documented sensitivity to production route, both acting through variables a sample-form label does not capture. We concede the test itself, separately from the result. Sample form is very nearly a relabelling of source paper here: one of the 29 contributing papers carried more than one sample form before the repair and none of the 20 does after it. Under a null that shuffles the form label between papers and holds each form's sample count fixed, which is the only null that respects that structure, the MgB2-class cell admits a single labelling and returns a probability of 1 however clean the separation, while the iron chalcogenide and 122-type cells admit four labellings and ten, with floors of 0.25 and 0.10. The diagnostic cannot establish the regime distinction it is used to draw, and Section III.A now reports the regime labels as the rule the predictor follows rather than as a tested finding. What would settle it is source papers reporting several sample forms of one compound, which our corpus does not contain. Separately, and this is our error rather than a limit of the literature: 26 of the 96 anchor rows behind this diagnostic held values contradicting their source figures and are withdrawn, and 15 more carried a scale error and are corrected.</w:t>
      </w:r>
      <w:r/>
      <w:r/>
      <w:r/>
      <w:r/>
      <w:r/>
      <w:r/>
      <w:r/>
      <w:r/>
      <w:r/>
      <w:r/>
      <w:r/>
      <w:r/>
    </w:p>
    <w:p>
      <w:pPr>
        <w:pStyle w:val="BodyText"/>
      </w:pPr>
      <w:r>
        <w:rPr>
          <w:iCs/>
          <w:i/>
        </w:rPr>
        <w:t xml:space="preserve">Figure 5, left, shows Jc vs T at H = 1 tesla. This is almost self-field. It was shown for a</w:t>
      </w:r>
      <w:r>
        <w:rPr>
          <w:iCs/>
          <w:i/>
        </w:rPr>
        <w:t xml:space="preserve"> </w:t>
      </w:r>
      <w:r>
        <w:rPr>
          <w:iCs/>
          <w:i/>
        </w:rPr>
        <w:t xml:space="preserve">much wider class of superconductors that the self-field critical current is a fundamental</w:t>
      </w:r>
      <w:r>
        <w:rPr>
          <w:iCs/>
          <w:i/>
        </w:rPr>
        <w:t xml:space="preserve"> </w:t>
      </w:r>
      <w:r>
        <w:rPr>
          <w:iCs/>
          <w:i/>
        </w:rPr>
        <w:t xml:space="preserve">property governed only by the London penetration depth. What if the temperature dependence</w:t>
      </w:r>
      <w:r>
        <w:rPr>
          <w:iCs/>
          <w:i/>
        </w:rPr>
        <w:t xml:space="preserve"> </w:t>
      </w:r>
      <w:r>
        <w:rPr>
          <w:iCs/>
          <w:i/>
        </w:rPr>
        <w:t xml:space="preserve">were plotted at a higher field?</w:t>
      </w:r>
    </w:p>
    <w:p>
      <w:pPr>
        <w:pStyle w:val="BodyText"/>
      </w:pPr>
      <w:r>
        <w:t xml:space="preserve">At 1 T against a 50 T upper critical field the reduced field is 0.02, so the field term of our expression has barely engaged, and what Figure 5 was showing was close to a self-field quantity. The referee is correct, and this turned out to be more than a matter of presentation. Section III.E now states it explicitly and cites Talantsev and Tallon, whose result the referee raises, as reference [42]. We report the family median at 4.2 K and 5 T, one of the two grid points that survive the refusal gates, which is a reduced field of 0.3226 rather than the near-self-field point the referee identified. The low-field targets the objection bears on are refused rather than reported.</w:t>
      </w:r>
      <w:r>
        <w:t xml:space="preserve"/>
      </w:r>
      <w:r>
        <w:t xml:space="preserve"/>
      </w:r>
      <w:r>
        <w:t xml:space="preserve"/>
      </w:r>
      <w:r>
        <w:t xml:space="preserve"/>
      </w:r>
      <w:r>
        <w:t xml:space="preserve"/>
      </w:r>
      <w:r>
        <w:t xml:space="preserve"/>
      </w:r>
      <w:r>
        <w:t xml:space="preserve"/>
      </w:r>
      <w:r>
        <w:t/>
      </w:r>
      <w:r/>
      <w:r/>
      <w:r/>
      <w:r/>
      <w:r/>
      <w:r/>
    </w:p>
    <w:p>
      <w:pPr>
        <w:pStyle w:val="BodyText"/>
      </w:pPr>
      <w:r>
        <w:t xml:space="preserve">The referee's suggestion and the next criticism are connected. If the self-field critical current is set mainly by the London penetration depth and depends only weakly on doping, sample shape and production route, then predictions evaluated near self-field should cluster, which is the narrow spread the referee questions below. We have adopted the suggestion, and it changed a claim. Figure 5 is redrawn against reduced field over the window across which the exponent is validated, rather than against absolute field to 10 T where the reduced field reaches only about 0.2. The three evaluated fields all fall in the low-reduced-field corner, and across the validated range the envelopes are not parallel: the iron chalcogenide and 122-type curves cross at a reduced field of 0.58, above which the 122-type envelope is higher, by 0.69 dex at 0.9. Section III.E previously said the family ordering was unchanged at every evaluated field; that remains true of the three evaluated fields, and the text now says so in those terms and reports the crossing beside it. The screening claim is limited to low reduced field. Since the crossing follows from the fitted field exponents and the critical-field anchors, the two quantities Section III.F qualifies, we report it to bound that claim and not as a prediction that the 122-type family overtakes the 11-type in high field. We would not have seen it without the referee's suggestion.</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In Figure 5, right, Jc vs H changes suspiciously weakly. In what field configuration was it</w:t>
      </w:r>
      <w:r>
        <w:rPr>
          <w:iCs/>
          <w:i/>
        </w:rPr>
        <w:t xml:space="preserve"> </w:t>
      </w:r>
      <w:r>
        <w:rPr>
          <w:iCs/>
          <w:i/>
        </w:rPr>
        <w:t xml:space="preserve">measured? The spread of Jc at H = 0 is also suspiciously small: a factor of 5 between the 11</w:t>
      </w:r>
      <w:r>
        <w:rPr>
          <w:iCs/>
          <w:i/>
        </w:rPr>
        <w:t xml:space="preserve"> </w:t>
      </w:r>
      <w:r>
        <w:rPr>
          <w:iCs/>
          <w:i/>
        </w:rPr>
        <w:t xml:space="preserve">type and MgB2, a factor of 2 within types. The bracket is shown with excessive precision:</w:t>
      </w:r>
      <w:r>
        <w:rPr>
          <w:iCs/>
          <w:i/>
        </w:rPr>
        <w:t xml:space="preserve"> </w:t>
      </w:r>
      <w:r>
        <w:rPr>
          <w:iCs/>
          <w:i/>
        </w:rPr>
        <w:t xml:space="preserve">0.388 dex? Why not 0.39 dex? For an SC specialist this bar could be expressed as just x2.5.</w:t>
      </w:r>
    </w:p>
    <w:p>
      <w:pPr>
        <w:pStyle w:val="BodyText"/>
      </w:pPr>
      <w:r>
        <w:t xml:space="preserve">Each of these is correct and each is now addressed.</w:t>
      </w:r>
    </w:p>
    <w:p>
      <w:pPr>
        <w:pStyle w:val="BodyText"/>
      </w:pPr>
      <w:r>
        <w:t xml:space="preserve">The weak field dependence is arithmetic. For the two iron-based families, whose dispatch anchors run from 16 to 60 T, the reduced field term moves the</w:t>
      </w:r>
      <w:r>
        <w:t xml:space="preserve"> </w:t>
      </w:r>
      <w:r>
        <w:t xml:space="preserve">prediction by 0.03 to 0.07 dex at 5 T. MgB2-class is the exception, and we should have given it: against a 15.5 T parent anchor the</w:t>
      </w:r>
      <w:r>
        <w:t xml:space="preserve"> </w:t>
      </w:r>
      <w:r>
        <w:t xml:space="preserve">shift at 5 T is 0.34 dex, a factor of 2.2. The flatness the referee saw is specific to the</w:t>
      </w:r>
      <w:r>
        <w:t xml:space="preserve"> </w:t>
      </w:r>
      <w:r>
        <w:t xml:space="preserve">iron-based families and to the reduced-field range covered. The field configuration is the point</w:t>
      </w:r>
      <w:r>
        <w:t xml:space="preserve"> </w:t>
      </w:r>
      <w:r>
        <w:t xml:space="preserve">raised above: orientation is recorded but not propagated, and we now say so rather than</w:t>
      </w:r>
      <w:r>
        <w:t xml:space="preserve"> </w:t>
      </w:r>
      <w:r>
        <w:t xml:space="preserve">leaving the reader to assume an isotropic treatment.</w:t>
      </w:r>
    </w:p>
    <w:p>
      <w:pPr>
        <w:pStyle w:val="BodyText"/>
      </w:pPr>
      <w:r>
        <w:t xml:space="preserve">The small spread led to the largest change in the paper. The referee was right and the explanation is structural, and this revision's reduced-field gate has narrowed what there is to report: only the MgB2 class still dispatches. A count needs correcting first. The dispatch emits at two grid points, not one: 4.2 K and 5 T, where 86 records cover 84 compounds, and 20 K and 5 T, where 77 cover 75, both clearing this revision's gates at reduced temperatures of 0.10 to 0.70 and a reduced field of 0.3226. The wording that said one grid point came from an assertion that checks a single field is emitted, which is true. At 4.2 K and 5 T the 86 records span 0.0085 dex, 1.4% of the 0.60 dex bootstrap interval there; at 20 K and 5 T the 77 records span 0.254 dex. At 20 K our explanation holds: the conditioning fixes every parameter of the expression, the compound-specific inputs are the critical-field anchor and the transition temperature, and the prediction regresses on the temperature term with a slope of 1.21 and an R squared of 0.996, recovering the family exponent of 1.14. At 4.2 K the transition temperature cannot enter at all, and this is the part we had not seen. The model is anchored at a reference point whose temperature is 4.2 K, so the temperature term is the difference of a quantity from itself and is identically zero for every candidate; across 59 distinct anchors from 8.9 to 41.4 K the largest value it takes is exactly zero. Every dispatched record also carries the same 15.5 T parent anchor, so the field term is one shared number, and the prediction there is a single family-level constant of 4.980 in log10 Jc, the family's critical-current anchor of 5.324 displaced by 0.344 dex. The referee's reading is right and the figure supports it more strongly than we claimed. The 0.0085 dex is not a spread between compounds: all 86 records have identical model inputs and differ only in their draw from one bootstrap stream over a pool of 18 fits, and resampling that pool 84 times independently returns 0.0092 dex with a standard deviation of 0.0016. It is evidence that the predictor is constant at that point and evidence of nothing else, and we no longer offer it as a measured quantity. A compound-resolved spread would need a grid that does not evaluate at the anchor's own reference temperature.</w:t>
      </w:r>
      <w:r>
        <w:t xml:space="preserve"/>
      </w:r>
      <w:r>
        <w:t xml:space="preserve"/>
      </w:r>
      <w:r>
        <w:t xml:space="preserve"/>
      </w:r>
      <w:r>
        <w:t/>
      </w:r>
      <w:r/>
      <w:r/>
      <w:r/>
      <w:r/>
      <w:r/>
      <w:r/>
      <w:r/>
      <w:r/>
      <w:r/>
      <w:r/>
      <w:r/>
      <w:r/>
    </w:p>
    <w:p>
      <w:pPr>
        <w:pStyle w:val="BodyText"/>
      </w:pPr>
      <w:r>
        <w:t>On precision we have adopted the referee's correction and no longer carry a third digit where it carried no comparison; it is kept where errors are compared across families, since rounding to two would collapse distinctions the applicability table turns on. The width itself has changed. The 0.388 dex the referee read was the median before this revision's reduced-field gate; over the 163 surviving predictions it is 0.61 dex, a factor of about 4.1, and 0.60 dex at the 4.2 K grid point. We should say what that width is made of. On the three records carrying an exact critical-field anchor it is 0.398 dex and on the 83 carrying a parent anchor 0.602, the difference being a deterministic plus or minus 20 percent envelope on the parent anchor rather than bootstrap spread, so about a third of the quoted width is not sampling uncertainty. At the upper perturbation that envelope evaluates the model at a reduced field of 0.269, below the 0.3 bound this revision introduced, which we flag as a defect in the envelope rather than defend. We have also adopted the suggested gloss, giving the width as a factor in the critical current: about 4.1, with Table S2 carrying the conversion generally.</w:t>
      </w:r>
      <w:r/>
      <w:r>
        <w:t xml:space="preserve"/>
      </w:r>
      <w:r>
        <w:t xml:space="preserve"/>
      </w:r>
      <w:r>
        <w:t xml:space="preserve"/>
      </w:r>
      <w:r>
        <w:t xml:space="preserve"/>
      </w:r>
      <w:r>
        <w:t xml:space="preserve"/>
      </w:r>
      <w:r>
        <w:t xml:space="preserve"/>
      </w:r>
      <w:r>
        <w:t/>
      </w:r>
      <w:r/>
      <w:r>
        <w:t/>
      </w:r>
      <w:r>
        <w:t xml:space="preserve"/>
      </w:r>
      <w:r>
        <w:t xml:space="preserve"/>
      </w:r>
    </w:p>
    <w:p>
      <w:pPr>
        <w:pStyle w:val="BodyText"/>
      </w:pPr>
      <w:r>
        <w:rPr>
          <w:iCs/>
          <w:i/>
        </w:rPr>
        <w:t xml:space="preserve">This crude model yields some acceptable results. There are three fitting parameters, and</w:t>
      </w:r>
      <w:r>
        <w:rPr>
          <w:iCs/>
          <w:i/>
        </w:rPr>
        <w:t xml:space="preserve"> </w:t>
      </w:r>
      <w:r>
        <w:rPr>
          <w:iCs/>
          <w:i/>
        </w:rPr>
        <w:t xml:space="preserve">experimental data seldom span orders of magnitude, so the model may work with some accuracy.</w:t>
      </w:r>
      <w:r>
        <w:rPr>
          <w:iCs/>
          <w:i/>
        </w:rPr>
        <w:t xml:space="preserve"> </w:t>
      </w:r>
      <w:r>
        <w:rPr>
          <w:iCs/>
          <w:i/>
        </w:rPr>
        <w:t xml:space="preserve">Also, Jc continues to decrease with both T and H, so monotonicity is preserved.</w:t>
      </w:r>
    </w:p>
    <w:p>
      <w:pPr>
        <w:pStyle w:val="BodyText"/>
      </w:pPr>
      <w:r>
        <w:t xml:space="preserve">We are grateful for this reading. It gives the reason the parameterization works better than</w:t>
      </w:r>
      <w:r>
        <w:t xml:space="preserve"> </w:t>
      </w:r>
      <w:r>
        <w:t xml:space="preserve">its derivation would suggest, and we have adopted it rather than claiming more.</w:t>
      </w:r>
      <w:r>
        <w:t xml:space="preserve"> </w:t>
      </w:r>
      <w:r>
        <w:t xml:space="preserve">Section II.C now presents the expression as an empirical aggregation form that retains the</w:t>
      </w:r>
      <w:r>
        <w:t xml:space="preserve"> </w:t>
      </w:r>
      <w:r>
        <w:t xml:space="preserve">reduced-scale structure of the Kramer and Dew-Hughes descriptions, given as Eq. (3), while</w:t>
      </w:r>
      <w:r>
        <w:t xml:space="preserve"> </w:t>
      </w:r>
      <w:r>
        <w:t xml:space="preserve">replacing the mechanism-specific exponents with a single fitted exponent per axis, and</w:t>
      </w:r>
      <w:r>
        <w:t xml:space="preserve"> </w:t>
      </w:r>
      <w:r>
        <w:t xml:space="preserve">states that we do not interpret that exponent as a pinning-mechanism exponent. Monotonicity</w:t>
      </w:r>
      <w:r>
        <w:t xml:space="preserve"> </w:t>
      </w:r>
      <w:r>
        <w:t xml:space="preserve">is enforced as a refusal gate rather than assumed, although we note that no dispatched candidate</w:t>
      </w:r>
      <w:r>
        <w:t xml:space="preserve"> </w:t>
      </w:r>
      <w:r>
        <w:t xml:space="preserve">has triggered it; the gate fired only on one external cuprate during validation.</w:t>
      </w:r>
    </w:p>
    <w:p>
      <w:pPr>
        <w:pStyle w:val="BodyText"/>
      </w:pPr>
      <w:r>
        <w:rPr>
          <w:iCs/>
          <w:i/>
        </w:rPr>
        <w:t xml:space="preserve">I wonder whether the data are limited to these two sources, Elsevier and Springer, or span</w:t>
      </w:r>
      <w:r>
        <w:rPr>
          <w:iCs/>
          <w:i/>
        </w:rPr>
        <w:t xml:space="preserve"> </w:t>
      </w:r>
      <w:r>
        <w:rPr>
          <w:iCs/>
          <w:i/>
        </w:rPr>
        <w:t xml:space="preserve">all available literature.</w:t>
      </w:r>
    </w:p>
    <w:p>
      <w:pPr>
        <w:pStyle w:val="BodyText"/>
      </w:pPr>
      <w:r>
        <w:t xml:space="preserve">Section II.A now states that the Elsevier and Springer interfaces supplied the retrieval and screening corpus, that all 18 source papers behind the temperature-axis cohort are arXiv preprints, and that the field-axis cohort additionally includes nine records digitized from National High Magnetic Field Laboratory datasets. The data are not limited to those two sources, and our earlier text implied otherwise, which we regret. We also state plainly that the retrieval is candidate-driven rather than exhaustive, so the corpus does not span all published literature and the coverage is biased toward the venues queried. All source identifiers are enumerated in the deposit.</w:t>
      </w:r>
      <w:r>
        <w:t xml:space="preserve"/>
      </w:r>
      <w:r>
        <w:t xml:space="preserve"/>
      </w:r>
      <w:r>
        <w:t xml:space="preserve"/>
      </w:r>
      <w:r>
        <w:t/>
      </w:r>
      <w:r/>
      <w:r>
        <w:t/>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w:t>
      </w:r>
      <w:r>
        <w:rPr>
          <w:iCs/>
          <w:i/>
        </w:rPr>
        <w:t xml:space="preserve">934 papers</w:t>
      </w:r>
      <w:r>
        <w:rPr>
          <w:iCs/>
          <w:i/>
        </w:rPr>
        <w:t xml:space="preserve">”</w:t>
      </w:r>
      <w:r>
        <w:rPr>
          <w:iCs/>
          <w:i/>
        </w:rPr>
        <w:t xml:space="preserve"> </w:t>
      </w:r>
      <w:r>
        <w:rPr>
          <w:iCs/>
          <w:i/>
        </w:rPr>
        <w:t xml:space="preserve">exaggerates the effective dataset size. The authors should clearly report the</w:t>
      </w:r>
      <w:r>
        <w:rPr>
          <w:iCs/>
          <w:i/>
        </w:rPr>
        <w:t xml:space="preserve"> </w:t>
      </w:r>
      <w:r>
        <w:rPr>
          <w:iCs/>
          <w:i/>
        </w:rPr>
        <w:t xml:space="preserve">number of papers actually contributing Jc curves, the number of physical samples, the number</w:t>
      </w:r>
      <w:r>
        <w:rPr>
          <w:iCs/>
          <w:i/>
        </w:rPr>
        <w:t xml:space="preserve"> </w:t>
      </w:r>
      <w:r>
        <w:rPr>
          <w:iCs/>
          <w:i/>
        </w:rPr>
        <w:t xml:space="preserve">of compounds. The Supplemental Material helps but introduces yet another number, 69 papers.</w:t>
      </w:r>
    </w:p>
    <w:p>
      <w:pPr>
        <w:pStyle w:val="BodyText"/>
      </w:pPr>
      <w:r>
        <w:t xml:space="preserve">Table I of Section II.A now gives the full ladder in one place: 934 articles screened, 50 contributing fitted curves, 35 distinct compound labels, 3303 extracted critical-current points, 257 temperature-axis fits, 52 field-axis fits from 12 source papers, and 96 per-paper anchors behind Figure 3, of which the 70 carrying no withdrawal are the cohort the figure now draws. We accept the objection and have separated the screening corpus from the evidence base for any fitted quantity. The counts for contributing papers, compounds and extracted points are lower than in the previous revision because eleven papers were withdrawn and their provenance rows had not been removed with them. The figure of 50 now appears first in the main text, and the abstract leads with the smaller numbers rather than with 934. The referee is also right that the figure and the tables appear to disagree, and we should have labelled the difference: the markers in Figure 3 are per physical sample, with multiple isotherms of one specimen averaged into a single record, while the tables count per-curve fits. The caption now gives both the anchors falling in the three panels shown and the markers they collapse to.</w:t>
      </w:r>
      <w:r>
        <w:t xml:space="preserve"/>
      </w:r>
      <w:r>
        <w:t/>
      </w:r>
      <w:r/>
      <w:r/>
      <w:r/>
      <w:r/>
      <w:r/>
      <w:r/>
      <w:r/>
      <w:r>
        <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w:r>
      <w:r/>
      <w:r>
        <w:t/>
      </w:r>
      <w:r>
        <w:t xml:space="preserve"/>
      </w:r>
      <w:r>
        <w:t xml:space="preserve"/>
      </w:r>
    </w:p>
    <w:p>
      <w:pPr>
        <w:pStyle w:val="BodyText"/>
      </w:pPr>
      <w:r>
        <w:rPr>
          <w:iCs/>
          <w:i/>
        </w:rPr>
        <w:t xml:space="preserve">Grouping the data reduces the error in the field-dependence exponent by a factor of 23.</w:t>
      </w:r>
      <w:r>
        <w:rPr>
          <w:iCs/>
          <w:i/>
        </w:rPr>
        <w:t xml:space="preserve"> </w:t>
      </w:r>
      <w:r>
        <w:rPr>
          <w:iCs/>
          <w:i/>
        </w:rPr>
        <w:t xml:space="preserve">This is an exaggeration. An error of ten orders of magnitude (10.10 dex) is problematic and</w:t>
      </w:r>
      <w:r>
        <w:rPr>
          <w:iCs/>
          <w:i/>
        </w:rPr>
        <w:t xml:space="preserve"> </w:t>
      </w:r>
      <w:r>
        <w:rPr>
          <w:iCs/>
          <w:i/>
        </w:rPr>
        <w:t xml:space="preserve">is driven largely by the cuprate fits that stem from the crude model. Is that so?</w:t>
      </w:r>
    </w:p>
    <w:p>
      <w:pPr>
        <w:pStyle w:val="BodyText"/>
      </w:pPr>
      <w:r>
        <w:t xml:space="preserve">It is, on four counts, and we no longer make the claim in that form.</w:t>
      </w:r>
    </w:p>
    <w:p>
      <w:pPr>
        <w:pStyle w:val="BodyText"/>
      </w:pPr>
      <w:r>
        <w:t xml:space="preserve">The units were wrong: errors in a fitted exponent are dimensionless, and labelling them in dex is what made 10.10 read as ten orders of magnitude in current density. This is corrected throughout. The cohorts were mismatched too, the larger error coming from nine substructure families and the smaller from the five with populated sample-form cells. Matching them removes that defect but not a worse one: in both, the predictor for a held-out family was built from a pool containing that family's own fits, so neither was a statement about generalization. Under leave-one-substructure-out we report no fold improvement at all, and give the errors instead. On the fits passing physicality the mean absolute error in the exponent is 1.19 without conditioning and 0.55 with it; across the seven families carrying a descriptor it is 12.3 and 14.9, which is conditioning doing worse than not conditioning. We withdraw the 1.07, 2.24 and 1.83 an earlier version of this reply quoted, because they repeat the defect they were introduced to replace: the sample-form scope is undefined for the MgB2 class once the cuprate families are gated out, so two of the three divide a four-family numerator by a three-family denominator. Nor is any such ratio stable at this scope. On the 52 field-axis fits surviving the anchor repairs there are four families and four folds, the unconditioned stage is a two-parameter fit on three training points in each, and removing any single family moves the ratio between 0.74 and 550. The objection is conceded more completely than our first reply conceded it. It is not that 23 was too large. It is that on a corpus of this size the benefit of conditioning cannot be separated from the noise of holding a family out, so we report the two errors and the family count rather than their quotient. The referee is further correct that the cuprates dominate the residual: Supplemental Sec. 1 reports 59% of the residual mass against 43% of the cohort, three cuprate substructures reaching the regression ceiling because their measured field windows lie far below the critical field. The same test found the mismatched-cohort error a second time: the 26.8% anchor-count reduction in Sec. III.B compared a three-compound one-anchor value against a four-compound three-anchor one, and the matched pair, 1.267 to 0.694, gives 45.2%, which we now carry.</w:t>
      </w:r>
      <w:r>
        <w:t xml:space="preserve"/>
      </w:r>
      <w:r>
        <w:t xml:space="preserve"/>
      </w:r>
      <w:r>
        <w:t xml:space="preserve"/>
      </w:r>
      <w:r>
        <w:t xml:space="preserve"/>
      </w:r>
      <w:r>
        <w:t xml:space="preserve"/>
      </w:r>
      <w:r>
        <w:t/>
      </w:r>
      <w:r>
        <w:t xml:space="preserve"/>
      </w:r>
      <w:r>
        <w:t xml:space="preserve"/>
      </w:r>
      <w:r>
        <w:t xml:space="preserve"/>
      </w:r>
      <w:r>
        <w:t/>
      </w:r>
      <w:r/>
      <w:r>
        <w:t xml:space="preserve"/>
      </w:r>
      <w:r>
        <w:t xml:space="preserve"/>
      </w:r>
      <w:r>
        <w:t xml:space="preserve"/>
      </w:r>
      <w:r>
        <w:t xml:space="preserve"/>
      </w:r>
      <w:r>
        <w:t/>
      </w:r>
      <w:r>
        <w:t xml:space="preserve"/>
      </w:r>
      <w:r>
        <w:t xml:space="preserve"/>
      </w:r>
      <w:r>
        <w:t xml:space="preserve"/>
      </w:r>
      <w:r>
        <w:t xml:space="preserve"/>
      </w:r>
      <w:r>
        <w:t xml:space="preserve"/>
      </w:r>
      <w:r>
        <w:t xml:space="preserve"/>
      </w:r>
      <w:r>
        <w:t xml:space="preserve"/>
      </w:r>
      <w:r>
        <w:t xml:space="preserve"/>
      </w:r>
      <w:r>
        <w:t xml:space="preserve"/>
      </w:r>
      <w:r>
        <w:t/>
      </w:r>
      <w:r/>
      <w:r>
        <w:t xml:space="preserve"/>
      </w:r>
      <w:r/>
      <w:r/>
    </w:p>
    <w:p>
      <w:pPr>
        <w:pStyle w:val="BodyText"/>
      </w:pPr>
      <w:r>
        <w:t>The conditioning claim no longer rests on this ratio at all, and it cannot rest on the variance-decomposition diagnostic either, for the reason conceded above: sample form is very nearly a relabelling of source paper, so under the only null that respects that structure the iron chalcogenide cell cannot reach a probability below 0.25, the 122-type cell below 0.10, and the MgB2-class cell returns 1 whatever its separation. The claim rests on the temperature axis, and the evidence is the permutation test reported below: with source papers as the unit and the substructure label shuffled between them, the family accounts for a rising fraction of the between-paper variance in the temperature exponent as the anchors are corrected, while on the field axis it accounts for essentially none. That is also why Table III records the field axis as not validated at family level and reports no verdict for it. We had described the temperature result as the one that improved under every correction; the section below withdraws that description and gives the full history.</w:t>
      </w:r>
      <w:r/>
      <w:r/>
      <w:r/>
      <w:r/>
      <w:r/>
      <w:r/>
      <w:r/>
      <w:r/>
    </w:p>
    <w:p>
      <w:pPr>
        <w:pStyle w:val="BodyText"/>
      </w:pPr>
      <w:r>
        <w:rPr>
          <w:iCs/>
          <w:i/>
        </w:rPr>
        <w:t xml:space="preserve">None of the materials shown, with the exception of MgB2, are really applied anywhere. If</w:t>
      </w:r>
      <w:r>
        <w:rPr>
          <w:iCs/>
          <w:i/>
        </w:rPr>
        <w:t xml:space="preserve"> </w:t>
      </w:r>
      <w:r>
        <w:rPr>
          <w:iCs/>
          <w:i/>
        </w:rPr>
        <w:t xml:space="preserve">these classes included the more practical YBCO or REBCO and BSCCO, the results might cluster</w:t>
      </w:r>
      <w:r>
        <w:rPr>
          <w:iCs/>
          <w:i/>
        </w:rPr>
        <w:t xml:space="preserve"> </w:t>
      </w:r>
      <w:r>
        <w:rPr>
          <w:iCs/>
          <w:i/>
        </w:rPr>
        <w:t xml:space="preserve">more closely around typical industrially achieved values. Both are highly field-dependent,</w:t>
      </w:r>
      <w:r>
        <w:rPr>
          <w:iCs/>
          <w:i/>
        </w:rPr>
        <w:t xml:space="preserve"> </w:t>
      </w:r>
      <w:r>
        <w:rPr>
          <w:iCs/>
          <w:i/>
        </w:rPr>
        <w:t xml:space="preserve">depend much more strongly on field angle, and have Hc2 values higher than can be measured.</w:t>
      </w:r>
      <w:r>
        <w:rPr>
          <w:iCs/>
          <w:i/>
        </w:rPr>
        <w:t xml:space="preserve"> </w:t>
      </w:r>
      <w:r>
        <w:rPr>
          <w:iCs/>
          <w:i/>
        </w:rPr>
        <w:t xml:space="preserve">They also do not obey Eq. 1, especially REBCO with its very robust B parallel to ab</w:t>
      </w:r>
      <w:r>
        <w:rPr>
          <w:iCs/>
          <w:i/>
        </w:rPr>
        <w:t xml:space="preserve"> </w:t>
      </w:r>
      <w:r>
        <w:rPr>
          <w:iCs/>
          <w:i/>
        </w:rPr>
        <w:t xml:space="preserve">behavior.</w:t>
      </w:r>
    </w:p>
    <w:p>
      <w:pPr>
        <w:pStyle w:val="BodyText"/>
      </w:pPr>
      <w:r>
        <w:t xml:space="preserve">The data-layer limitations of Section III.F now record that the framework has not been validated on the deployed conductor materials, that REBCO in particular does not obey our expression over the ranges of interest, and that the cuprates enter two ways, five papers in the fitted cohort and four out-of-corpus cuprates as the external validation set where they show measurement-window saturation. We state it as a limit on the work rather than a gap to be filled later, and add the referee's point that these materials have critical fields higher than can be directly measured and a much stronger field-angle dependence. Extending the framework to them is not a matter of adding data: it would need a functional form appropriate to their pinning behaviour and an orientation-resolved treatment our extraction does not support.</w:t>
      </w:r>
      <w:r>
        <w:t xml:space="preserve"/>
      </w:r>
      <w:r>
        <w:t xml:space="preserve"/>
      </w:r>
      <w:r>
        <w:t xml:space="preserve"/>
      </w:r>
      <w:r>
        <w:t xml:space="preserve"/>
      </w:r>
      <w:r>
        <w:t xml:space="preserve"/>
      </w:r>
      <w:r>
        <w:t/>
      </w:r>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In a few places, La2FeAsO is used instead of LaFeAsO.</w:t>
      </w:r>
    </w:p>
    <w:p>
      <w:pPr>
        <w:pStyle w:val="BodyText"/>
      </w:pPr>
      <w:r>
        <w:t xml:space="preserve">Corrected. The referee has identified something systematic rather than a typing slip. The analysis pipeline carries Materials Project reduced formulas throughout, which is</w:t>
      </w:r>
      <w:r>
        <w:t xml:space="preserve"> </w:t>
      </w:r>
      <w:r>
        <w:t xml:space="preserve">how the form reached the manuscript. The paper now uses conventional superconductivity</w:t>
      </w:r>
      <w:r>
        <w:t xml:space="preserve"> </w:t>
      </w:r>
      <w:r>
        <w:t xml:space="preserve">nomenclature everywhere, and Table S3 of the Supplemental Material gives the full mapping,</w:t>
      </w:r>
      <w:r>
        <w:t xml:space="preserve"> </w:t>
      </w:r>
      <w:r>
        <w:t xml:space="preserve">including LaFeAsO for La2FeAs2O, BaFe2As2 for Ba(FeAs)2, KFe2As2 for K(FeAs)2, FeTe0.5Se0.5</w:t>
      </w:r>
      <w:r>
        <w:t xml:space="preserve"> </w:t>
      </w:r>
      <w:r>
        <w:t xml:space="preserve">for Fe2TeSe, and Bi-2223 for Sr2Ca2Cu3(BiO5)2.</w:t>
      </w:r>
    </w:p>
    <w:p>
      <w:pPr>
        <w:pStyle w:val="BodyText"/>
      </w:pPr>
      <w:r>
        <w:rPr>
          <w:iCs/>
          <w:i/>
        </w:rPr>
        <w:t xml:space="preserve">The present manuscript overstates this contribution as compound-specific Jc prediction.</w:t>
      </w:r>
      <w:r>
        <w:rPr>
          <w:iCs/>
          <w:i/>
        </w:rPr>
        <w:t xml:space="preserve"> </w:t>
      </w:r>
      <w:r>
        <w:rPr>
          <w:iCs/>
          <w:i/>
        </w:rPr>
        <w:t xml:space="preserve">Substantial revision, complete release of the extracted data and code, clarification of the</w:t>
      </w:r>
      <w:r>
        <w:rPr>
          <w:iCs/>
          <w:i/>
        </w:rPr>
        <w:t xml:space="preserve"> </w:t>
      </w:r>
      <w:r>
        <w:rPr>
          <w:iCs/>
          <w:i/>
        </w:rPr>
        <w:t xml:space="preserve">validation procedure, and reframing of the output as family and sample-form performance</w:t>
      </w:r>
      <w:r>
        <w:rPr>
          <w:iCs/>
          <w:i/>
        </w:rPr>
        <w:t xml:space="preserve"> </w:t>
      </w:r>
      <w:r>
        <w:rPr>
          <w:iCs/>
          <w:i/>
        </w:rPr>
        <w:t xml:space="preserve">envelopes are necessary.</w:t>
      </w:r>
    </w:p>
    <w:p>
      <w:pPr>
        <w:pStyle w:val="BodyText"/>
      </w:pPr>
      <w:r>
        <w:t xml:space="preserve">We have adopted this reframing as the paper's stated output rather than a caveat added to it. The abstract now says the framework emits family-scope envelopes with an explicit refusal decision, and that within a family the envelope is one curve shared by all member candidates; Section III.E demonstrates it with the counts above, Assumption 4 of Section III.F states it as a bound on inferential scope, and Figure 5's caption repeats it. We have removed the phrasing that could be read as a ranking of 183 candidates.</w:t>
      </w:r>
      <w:r>
        <w:t xml:space="preserve"/>
      </w:r>
      <w:r>
        <w:t xml:space="preserve"/>
      </w:r>
      <w:r>
        <w:t xml:space="preserve"/>
      </w:r>
      <w:r>
        <w:t xml:space="preserve"/>
      </w:r>
      <w:r>
        <w:t xml:space="preserve"/>
      </w:r>
      <w:r>
        <w:t xml:space="preserve"/>
      </w:r>
      <w:r>
        <w:t xml:space="preserve"/>
      </w:r>
      <w:r>
        <w:t xml:space="preserve"/>
      </w:r>
      <w:r>
        <w:t xml:space="preserve"/>
      </w:r>
      <w:r>
        <w:t/>
      </w:r>
      <w:r>
        <w:t xml:space="preserve"/>
      </w:r>
      <w:r>
        <w:t xml:space="preserve"/>
      </w:r>
      <w:r>
        <w:t xml:space="preserve"/>
      </w:r>
      <w:r>
        <w:t xml:space="preserve"/>
      </w:r>
    </w:p>
    <w:p>
      <w:pPr>
        <w:pStyle w:val="BodyText"/>
      </w:pPr>
      <w:r>
        <w:t xml:space="preserve">On validation, every result is now labelled with its cohort, its protocol, and the critical</w:t>
      </w:r>
      <w:r>
        <w:t xml:space="preserve"> </w:t>
      </w:r>
      <w:r>
        <w:t xml:space="preserve">scale implementation that produced it, and the applicability bound is reported separately</w:t>
      </w:r>
      <w:r>
        <w:t xml:space="preserve"> </w:t>
      </w:r>
      <w:r>
        <w:t xml:space="preserve">for each axis because the two rest on different evidence. On release, the Data Availability</w:t>
      </w:r>
      <w:r>
        <w:t xml:space="preserve"> </w:t>
      </w:r>
      <w:r>
        <w:t xml:space="preserve">statement specifies the data and code as described above, including both implementations of</w:t>
      </w:r>
      <w:r>
        <w:t xml:space="preserve"> </w:t>
      </w:r>
      <w:r>
        <w:t xml:space="preserve">the field-axis critical scale so that results reported through each can be reproduced</w:t>
      </w:r>
      <w:r>
        <w:t xml:space="preserve"> </w:t>
      </w:r>
      <w:r>
        <w:t xml:space="preserve">independently.</w:t>
      </w:r>
    </w:p>
    <w:p>
      <w:pPr>
        <w:pStyle w:val="BodyText"/>
      </w:pPr>
      <w:r>
        <w:rPr>
          <w:bCs/>
          <w:b/>
        </w:rPr>
        <w:t xml:space="preserve">Referee B</w:t>
      </w:r>
    </w:p>
    <w:p>
      <w:pPr>
        <w:pStyle w:val="BodyText"/>
      </w:pPr>
      <w:r>
        <w:rPr>
          <w:iCs/>
          <w:i/>
        </w:rPr>
        <w:t xml:space="preserve">Am I understanding correctly that the paper created 3 models, with model difference based on</w:t>
      </w:r>
      <w:r>
        <w:rPr>
          <w:iCs/>
          <w:i/>
        </w:rPr>
        <w:t xml:space="preserve"> </w:t>
      </w:r>
      <w:r>
        <w:rPr>
          <w:iCs/>
          <w:i/>
        </w:rPr>
        <w:t xml:space="preserve">what kind of information is allowed as input versus held constant?</w:t>
      </w:r>
    </w:p>
    <w:p>
      <w:pPr>
        <w:pStyle w:val="BodyText"/>
      </w:pPr>
      <w:r>
        <w:t xml:space="preserve">Not quite, and the earlier text invited that reading. There is one model and three prediction scopes over the same fitted exponents, which Section II.D now states under the heading Three scopes, not three models. Stage 1 regresses the exponent against a compositional descriptor and serves for rank signal and substructure classification, not as a final predictor. Stage 2 takes the median exponent within a (substructure, sample form) cell when the candidate's form is known and that cell is populated. Stage 3 takes the substructure-level median with the within-family interquartile range as uncertainty, when the form is unknown or the cell is too sparse, and the variance-decomposition diagnostic decides family by family whether Stage 2 is justified at all. What differs is the scope over which the same quantities are aggregated, not the class of model.</w:t>
      </w:r>
      <w:r>
        <w:t xml:space="preserve"/>
      </w:r>
      <w:r>
        <w:t xml:space="preserve"/>
      </w:r>
      <w:r>
        <w:t xml:space="preserve"/>
      </w:r>
      <w:r>
        <w:t xml:space="preserve"/>
      </w:r>
      <w:r>
        <w:t xml:space="preserve"/>
      </w:r>
      <w:r>
        <w:rPr>
          <w:iCs/>
          <w:i/>
        </w:rP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What is the procedure for running inference on a compound that is not included in the</w:t>
      </w:r>
      <w:r>
        <w:rPr>
          <w:iCs/>
          <w:i/>
        </w:rPr>
        <w:t xml:space="preserve"> </w:t>
      </w:r>
      <w:r>
        <w:rPr>
          <w:iCs/>
          <w:i/>
        </w:rPr>
        <w:t xml:space="preserve">training set? Does one first select the appropriate substructure, identify which conditioning</w:t>
      </w:r>
      <w:r>
        <w:rPr>
          <w:iCs/>
          <w:i/>
        </w:rPr>
        <w:t xml:space="preserve"> </w:t>
      </w:r>
      <w:r>
        <w:rPr>
          <w:iCs/>
          <w:i/>
        </w:rPr>
        <w:t xml:space="preserve">variables must be defined, then run regression only if sufficient data are available for the</w:t>
      </w:r>
      <w:r>
        <w:rPr>
          <w:iCs/>
          <w:i/>
        </w:rPr>
        <w:t xml:space="preserve"> </w:t>
      </w:r>
      <w:r>
        <w:rPr>
          <w:iCs/>
          <w:i/>
        </w:rPr>
        <w:t xml:space="preserve">requested inference?</w:t>
      </w:r>
    </w:p>
    <w:p>
      <w:pPr>
        <w:pStyle w:val="BodyText"/>
      </w:pPr>
      <w:r>
        <w:t xml:space="preserve">The referee's reconstruction is correct, and Section II.D now writes it out as a numbered procedure. For a candidate with no critical-current measurements: assign the substructure family from stoichiometry and crystal system, refusing if it is unpopulated or ambiguous; obtain the transition-temperature anchor, and the critical-field anchor if a field-axis target is requested, refusing that target if it is unavailable; require at least three anchor measurements; read the variance-decomposition regime for the family to select Stage 2 or Stage 3; take the median parameters from that cell; evaluate the expression and propagate uncertainty by quadrature over the three fitted terms; and apply the remaining gates, refusing with a reason code if any fails. The procedure closes by noting that the parameter and evaluation steps use family-level quantities only, which is why we withhold per-compound rankings.</w:t>
      </w:r>
      <w:r>
        <w:t xml:space="preserve"/>
      </w:r>
      <w:r>
        <w:t xml:space="preserve"/>
      </w:r>
      <w:r>
        <w:t xml:space="preserve"/>
      </w:r>
      <w:r>
        <w:t xml:space="preserve"/>
      </w:r>
      <w:r>
        <w:t xml:space="preserve"/>
      </w:r>
      <w:r>
        <w:t xml:space="preserve"/>
      </w:r>
      <w:r>
        <w:t xml:space="preserve"/>
      </w:r>
      <w:r>
        <w:t xml:space="preserve"/>
      </w:r>
      <w:r>
        <w:t xml:space="preserve"/>
      </w:r>
      <w:r>
        <w:t/>
      </w:r>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1. What regression model is used to connect composition descriptors to the scaling</w:t>
      </w:r>
      <w:r>
        <w:rPr>
          <w:iCs/>
          <w:i/>
        </w:rPr>
        <w:t xml:space="preserve"> </w:t>
      </w:r>
      <w:r>
        <w:rPr>
          <w:iCs/>
          <w:i/>
        </w:rPr>
        <w:t xml:space="preserve">exponents? Are these composition descriptors the Magpie Set?</w:t>
      </w:r>
    </w:p>
    <w:p>
      <w:pPr>
        <w:pStyle w:val="BodyText"/>
      </w:pPr>
      <w:r>
        <w:t xml:space="preserve">They are not the MAGPIE set, and we now name the model rather than leaving it to be inferred: Section III.A states that the Stage 1 regression is a univariate ordinary least squares fit on the mean maximum Pauling electronegativity across seven substructure families with leave-one-substructure-out validation. The Spearman coefficient of 0.635 with its interval from 0.061 to 0.948 that an earlier version of this reply quoted is withdrawn: it was computed on a nine-family descriptor table and on the mean field exponent where this stage regresses the median, and on the seven families that remain no interval can be estimated tightly enough to be worth quoting. We report instead the quantity this stage was validated on, its rank-position error of 1.00 with six of seven families placed within one position, which is why Stage 1 is retained for ranking and classification rather than for magnitude.</w:t>
      </w:r>
      <w:r>
        <w:t xml:space="preserve"/>
      </w:r>
      <w:r>
        <w:t/>
      </w:r>
      <w:r/>
      <w:r>
        <w:t xml:space="preserve"/>
      </w:r>
      <w:r/>
      <w:r/>
      <w:r/>
      <w:r/>
      <w:r/>
      <w:r/>
    </w:p>
    <w:p>
      <w:pPr>
        <w:pStyle w:val="BodyText"/>
      </w:pPr>
      <w:r>
        <w:rPr>
          <w:iCs/>
          <w:i/>
        </w:rPr>
        <w:t xml:space="preserve">2. Do you mean the predicted temperature dependence of the log Jc?</w:t>
      </w:r>
    </w:p>
    <w:p>
      <w:pPr>
        <w:pStyle w:val="BodyText"/>
      </w:pPr>
      <w:r>
        <w:t xml:space="preserve">Yes. Corrected wherever the phrase appears.</w:t>
      </w:r>
    </w:p>
    <w:p>
      <w:pPr>
        <w:pStyle w:val="BodyText"/>
      </w:pPr>
      <w:r>
        <w:rPr>
          <w:iCs/>
          <w:i/>
        </w:rPr>
        <w:t xml:space="preserve">3. What are scaling exponents?</w:t>
      </w:r>
    </w:p>
    <w:p>
      <w:pPr>
        <w:pStyle w:val="BodyText"/>
      </w:pPr>
      <w:r>
        <w:t xml:space="preserve">Defined at first use in Section II.C, with the intercept and the dex convention: a scaling exponent is the fitted power to which the reduced distance from a critical scale is raised, and it is dimensionless. The question also exposed a second problem. The manuscript used one symbol for the field exponent while the analysis realized it against two definitions of the critical scale, which Section II.C now separates under the heading Two implementations of the field-axis critical scale. The two are identical for the 61 of 159 fits that fall back to the literature default; for the 98 where a paper-derived value was resolved, that value is a median factor of 6.4 smaller. Every result in Section III is labelled with the implementation that produced it.</w:t>
      </w:r>
      <w:r>
        <w:t xml:space="preserve"/>
      </w:r>
      <w:r>
        <w:t xml:space="preserve"/>
      </w:r>
      <w:r>
        <w:t xml:space="preserve"/>
      </w:r>
      <w:r>
        <w:t xml:space="preserve"/>
      </w:r>
      <w:r>
        <w:t xml:space="preserve"/>
      </w:r>
      <w:r>
        <w:t xml:space="preserve"/>
      </w:r>
      <w:r>
        <w:t xml:space="preserve"/>
      </w:r>
      <w:r>
        <w:rPr>
          <w:iCs/>
          <w:i/>
        </w:rPr>
        <w:t xml:space="preserve"/>
      </w:r>
      <w:r>
        <w:rPr>
          <w:iCs/>
          <w:i/>
        </w:rPr>
        <w:t xml:space="preserve"/>
      </w:r>
      <w:r>
        <w:rPr>
          <w:iCs/>
          <w:i/>
        </w:rPr>
        <w:t xml:space="preserve"/>
      </w:r>
      <w:r>
        <w:t/>
      </w:r>
      <w:r/>
      <w:r/>
      <w:r/>
      <w:r>
        <w:t xml:space="preserve"/>
      </w:r>
      <w:r>
        <w:t xml:space="preserve"/>
      </w:r>
      <w:r>
        <w:t xml:space="preserve"/>
      </w:r>
    </w:p>
    <w:p>
      <w:pPr>
        <w:pStyle w:val="BodyText"/>
      </w:pPr>
      <w:r>
        <w:rPr>
          <w:iCs/>
          <w:i/>
        </w:rPr>
        <w:t xml:space="preserve">4. Which expression are you referring to as Form 3? Is it Eq 1? If so, please be more</w:t>
      </w:r>
      <w:r>
        <w:rPr>
          <w:iCs/>
          <w:i/>
        </w:rPr>
        <w:t xml:space="preserve"> </w:t>
      </w:r>
      <w:r>
        <w:rPr>
          <w:iCs/>
          <w:i/>
        </w:rPr>
        <w:t xml:space="preserve">specific.</w:t>
      </w:r>
    </w:p>
    <w:p>
      <w:pPr>
        <w:pStyle w:val="BodyText"/>
      </w:pPr>
      <w:r>
        <w:t xml:space="preserve">It is, and it is now labelled at the equation rather than named in passing. Section</w:t>
      </w:r>
      <w:r>
        <w:t xml:space="preserve"> </w:t>
      </w:r>
      <w:r>
        <w:t xml:space="preserve">II.C introduces the per-axis expression as Form 3 at the point where it is displayed, writes</w:t>
      </w:r>
      <w:r>
        <w:t xml:space="preserve"> </w:t>
      </w:r>
      <w:r>
        <w:t xml:space="preserve">all three candidate forms explicitly as Eqs. (5), (6) and (7) so the comparison can be read</w:t>
      </w:r>
      <w:r>
        <w:t xml:space="preserve"> </w:t>
      </w:r>
      <w:r>
        <w:t xml:space="preserve">directly, and gives their holdout comparison in Table II. The temperature independence of the</w:t>
      </w:r>
      <w:r>
        <w:t xml:space="preserve"> </w:t>
      </w:r>
      <w:r>
        <w:t xml:space="preserve">field scale in Form 3 is stated there as a design choice, with the alternative that carries</w:t>
      </w:r>
      <w:r>
        <w:t xml:space="preserve"> </w:t>
      </w:r>
      <w:r>
        <w:t xml:space="preserve">an explicit temperature-dependent critical field shown alongside it.</w:t>
      </w:r>
    </w:p>
    <w:p>
      <w:pPr>
        <w:pStyle w:val="BodyText"/>
      </w:pPr>
      <w:r>
        <w:rPr>
          <w:iCs/>
          <w:i/>
        </w:rPr>
        <w:t xml:space="preserve">5. There is no connection between Input and Predictor if you follow the arrows. Could you</w:t>
      </w:r>
      <w:r>
        <w:rPr>
          <w:iCs/>
          <w:i/>
        </w:rPr>
        <w:t xml:space="preserve"> </w:t>
      </w:r>
      <w:r>
        <w:rPr>
          <w:iCs/>
          <w:i/>
        </w:rPr>
        <w:t xml:space="preserve">denote the information below between these steps visually? Ideally the arrows would include</w:t>
      </w:r>
      <w:r>
        <w:rPr>
          <w:iCs/>
          <w:i/>
        </w:rPr>
        <w:t xml:space="preserve"> </w:t>
      </w:r>
      <w:r>
        <w:rPr>
          <w:iCs/>
          <w:i/>
        </w:rPr>
        <w:t xml:space="preserve">what information is being passed.</w:t>
      </w:r>
    </w:p>
    <w:p>
      <w:pPr>
        <w:pStyle w:val="BodyText"/>
      </w:pPr>
      <w:r>
        <w:t xml:space="preserve">Following the referee's arrows showed that a stage was missing from the architecture, not only a line: between extraction and fitting the workflow resolves the transition temperature and the critical field for each fitted curve, and that stage was not shown at all. It is where the defects reported below occur. The workflow is now six stages, redrawn as a vertical flow in which every arrow is labelled with what it carries and the critical-scale resolution stage is shown explicitly with its provenance tiers. The refusal branch leaves the dispatch stage explicitly, so that refusal reads as an output of the predictor rather than as an omission.</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6. Please enumerate the 4 assumptions.</w:t>
      </w:r>
    </w:p>
    <w:p>
      <w:pPr>
        <w:pStyle w:val="BodyText"/>
      </w:pPr>
      <w:r>
        <w:t xml:space="preserve">Section III.F is now organized as four numbered assumptions followed by a data-layer finding.</w:t>
      </w:r>
      <w:r>
        <w:t xml:space="preserve"> </w:t>
      </w:r>
      <w:r>
        <w:t xml:space="preserve">Assumption 1 is the per-axis power-law form, and it states explicitly that the field term</w:t>
      </w:r>
      <w:r>
        <w:t xml:space="preserve"> </w:t>
      </w:r>
      <w:r>
        <w:t xml:space="preserve">uses a temperature-independent critical field, which is the point Referee A raised.</w:t>
      </w:r>
      <w:r>
        <w:t xml:space="preserve"> </w:t>
      </w:r>
      <w:r>
        <w:t xml:space="preserve">Assumption 2 is that each family carries a single dominant mechanism class. Assumption 3 is</w:t>
      </w:r>
      <w:r>
        <w:t xml:space="preserve"> </w:t>
      </w:r>
      <w:r>
        <w:t xml:space="preserve">the critical field layer and what the corpus can supply. Assumption 4 is that the inferential</w:t>
      </w:r>
      <w:r>
        <w:t xml:space="preserve"> </w:t>
      </w:r>
      <w:r>
        <w:t xml:space="preserve">scope is the family and not the compound.</w:t>
      </w:r>
    </w:p>
    <w:p>
      <w:pPr>
        <w:pStyle w:val="BodyText"/>
      </w:pPr>
      <w:r>
        <w:rPr>
          <w:bCs/>
          <w:b/>
        </w:rPr>
        <w:t xml:space="preserve">Changes we made on our own</w:t>
      </w:r>
    </w:p>
    <w:p>
      <w:r>
        <w:t xml:space="preserve">We report these because they matter to the results, and because a referee would reasonably ask why several numbers have moved. Section 17 of the Supplemental Material carries the trace with the evidence for each finding; below is what it found and what it changed.</w:t>
      </w:r>
    </w:p>
    <w:p>
      <w:r>
        <w:t xml:space="preserve">Tracing Referee A's two observations led to a retrospective audit of the critical-field scale. Sixteen field-axis papers were read independently by two vision-language models of a later generation than the pair used for extraction. For eight of the sixteen, both models reported that the paper contains no plot of critical field against temperature, while the pipeline held extracted values for all eight. Across the cohort the assigned scale barely exceeds the largest field measured on the curve it anchors, at a median ratio of 0.88, which is how a scale read from a curve endpoint behaves and not how an independently measured critical field behaves. We attempted a rebuild against a temperature-resolved scale and could not complete it: of 29 candidate papers read and span-tested, only the MgB2 class clears the three-paper threshold we set beforehand, and the 122-type family, which needed the evidence most, yielded nothing. We report that as a finding rather than an obstacle, since it is the comparability principle of this paper applied one level down.</w:t>
      </w:r>
    </w:p>
    <w:p>
      <w:r>
        <w:t xml:space="preserve">Continuing that audit turned up five further defects, four of them in places we had not looked. Eleven papers were withdrawn from the temperature-axis cohort after we opened their figures, and one table was not updated with them, so Table I was internally inconsistent and the extracted-point count was overstated by 843. The transition-temperature anchor is a lookup table with per-substructure defaults rather than the paper-reported value the deposit labels it; six of the eighteen temperature-axis papers are wrong by 5 K or more, and we have replaced every anchor we could check with the value the paper prints. The applicability window was imposed on the temperature axis and not the field axis, where nineteen of the 94 fits sat above the stated bound; it is now applied to both, and we say plainly that its field clause contains nothing independent of its own scale. The extracted curves carry four to twenty times less interaction between the temperature and field dependences than pixel traces of the same printed figures, which is why the field exponent carries the qualification it does. And the deposited prediction file did not reproduce from its own generator, and now does: a scope rule had been applied to the file and never written into the code, and three of the four scripts producing the table were named nowhere. One script now runs all four and compares the result with the released file cell by cell. Regenerating moved the spread at 4.2 K and 5 T from 0.0098 dex to 0.0085 and at 20 K and 5 T from 0.259 to 0.254, and changed nothing else.</w:t>
      </w:r>
    </w:p>
    <w:p>
      <w:pPr>
        <w:pStyle w:val="BodyText"/>
      </w:pPr>
      <w:r>
        <w:t>What this does to the results</w:t>
      </w:r>
      <w:r/>
      <w:r/>
      <w:r/>
      <w:r/>
      <w:r/>
      <w:r/>
      <w:r/>
      <w:r/>
      <w:r/>
      <w:r/>
      <w:r/>
      <w:r/>
      <w:r/>
      <w:r/>
      <w:r/>
      <w:r/>
      <w:r/>
      <w:r/>
      <w:r/>
      <w:r/>
      <w:r/>
      <w:r/>
      <w:r/>
      <w:r/>
      <w:r/>
      <w:r/>
    </w:p>
    <w:p>
      <w:pPr>
        <w:pStyle w:val="BodyText"/>
      </w:pPr>
      <w:r>
        <w:t>We tested the substructure separation again with papers as the unit and a permutation test over the family labels, which needs no distributional assumption and is unchanged by a rescaling of the exponents.</w:t>
      </w:r>
      <w:r/>
      <w:r/>
      <w:r/>
      <w:r/>
      <w:r/>
      <w:r/>
      <w:r/>
      <w:r/>
      <w:r/>
      <w:r/>
      <w:r/>
      <w:r/>
      <w:r/>
      <w:r/>
      <w:r/>
      <w:r/>
      <w:r/>
      <w:r/>
      <w:r/>
      <w:r/>
      <w:r/>
      <w:r/>
      <w:r/>
      <w:r/>
      <w:r/>
      <w:r/>
    </w:p>
    <w:p>
      <w:pPr>
        <w:pStyle w:val="BodyText"/>
      </w:pPr>
      <w:r>
        <w:t>On the temperature axis the families separate. Matched on the seventeen papers common to both versions, the fraction of between-paper variance the family accounts for is 0.44 before the anchor correction and 0.52 after, with permutation probabilities of 0.016 and 0.007. We withdraw the description of this as a result that strengthened under every correction, because the full history does not support it. Three things belong beside the number. Before the eleven paper withdrawals there is no separation at all, at 0.107 with a probability of 0.355, and our own note on those withdrawals records that the screen which selected them is not independent of the exponent and acted in opposite directions in different families, so most of the rise cannot be read as evidence. At the step that removed two papers whose extractions could not be reproduced, the fraction rose while the probability rose with it, from 0.012 to 0.016. And the exponents do not reproduce from their own figures: of the fourteen we could score against a pixel trace none does, at a median ratio of 0.42, though on the exponents rebuilt from those traces the separation survives at 0.359 with a probability of 0.037 while the applicability result does not. What we can defend is narrower than what we first wrote and is tested harder. The obvious objection to a family label is that it is compound identity with fewer labels, and enumeration settles it: the eight compounds admit 966 ways of forming three families, four reach the observed separation, and the exact probability is 0.0041. One alternative grouping separates the exponent slightly better than the substructure label does, and Sec. III.C says so.</w:t>
      </w:r>
      <w:r/>
      <w:r/>
      <w:r/>
      <w:r/>
      <w:r/>
      <w:r/>
      <w:r/>
      <w:r/>
      <w:r/>
      <w:r/>
      <w:r/>
      <w:r/>
      <w:r/>
      <w:r/>
      <w:r/>
      <w:r/>
      <w:r/>
      <w:r/>
      <w:r/>
      <w:r/>
      <w:r/>
      <w:r/>
      <w:r/>
      <w:r/>
      <w:r/>
      <w:r/>
    </w:p>
    <w:p>
      <w:pPr>
        <w:pStyle w:val="BodyText"/>
      </w:pPr>
      <w:r>
        <w:t>On the field axis the families do not separate, under either version. The fraction is 0.055 before the repair and 0.038 after, with permutation probabilities of 0.93 and 0.98. This is not a result the repair removes. It was not present in the data as deposited either, and we had not tested it with a statistic that could have shown so.</w:t>
      </w:r>
      <w:r/>
      <w:r/>
      <w:r/>
      <w:r/>
      <w:r/>
      <w:r/>
      <w:r/>
      <w:r/>
      <w:r/>
      <w:r/>
      <w:r/>
      <w:r/>
      <w:r/>
      <w:r/>
      <w:r/>
      <w:r/>
      <w:r/>
      <w:r/>
      <w:r/>
      <w:r/>
      <w:r/>
      <w:r/>
      <w:r/>
      <w:r/>
      <w:r/>
      <w:r/>
    </w:p>
    <w:p>
      <w:pPr>
        <w:pStyle w:val="BodyText"/>
      </w:pPr>
      <w:r>
        <w:t>We therefore state the substructure result as a temperature-axis result, and report the field axis as not separating the families rather than omitting it. A pass over every reported quantity found five more defects, all corrected. The 30% adoption threshold our universality claim was compared against had no construction anywhere in our analysis, and the quantity its own defining sentence named as the benchmark was twenty times smaller; it is withdrawn, and Sec. III.D now tests the scaling claim directly against coordinates chosen to carry no physics. Stage 3's error of 0.84 was described as a leave-one-substructure-out result and is not one: the held-out family predicted itself, the same defect we concede above for Stages 1 and 2 and from the same run. Under genuine withholding it is 0.816. The propagated uncertainty of 0.29 dex used a temperature-exponent scatter that does not reproduce from our own deposit; on the repaired exponent it is 0.27 dex, and the accompanying claim that a correlation between the terms would make it a lower bound is wrong for this functional form, so we claim no bound. Table II's holdout margin does not separate Form 3 from Form 2 once the three forms are scored on identical rows and compounds, so Sec. II.C adopts Form 3 for the separability the rest of the paper requires and reports the comparison as it falls. And the per-family parameters behind Figure 5 could not be regenerated at all, because the module producing them fitted them to the predictor's own output; they are now family median exponents over the fitted cohorts, and the figure moves with them.</w:t>
      </w:r>
      <w:r/>
      <w:r/>
      <w:r/>
      <w:r/>
      <w:r/>
      <w:r/>
      <w:r/>
      <w:r/>
      <w:r/>
      <w:r/>
      <w:r/>
      <w:r/>
      <w:r/>
      <w:r/>
      <w:r/>
      <w:r/>
      <w:r/>
      <w:r/>
      <w:r/>
      <w:r/>
      <w:r/>
      <w:r/>
      <w:r/>
      <w:r/>
      <w:r/>
      <w:r/>
    </w:p>
    <w:p>
      <w:pPr>
        <w:pStyle w:val="BodyText"/>
      </w:pPr>
      <w:r>
        <w:t>What we now report</w:t>
      </w:r>
      <w:r/>
      <w:r/>
      <w:r/>
      <w:r/>
      <w:r/>
      <w:r/>
      <w:r/>
      <w:r/>
      <w:r/>
      <w:r/>
      <w:r/>
      <w:r/>
      <w:r/>
      <w:r/>
      <w:r/>
      <w:r/>
      <w:r/>
      <w:r/>
      <w:r/>
      <w:r/>
      <w:r/>
      <w:r/>
      <w:r/>
      <w:r/>
      <w:r/>
      <w:r/>
    </w:p>
    <w:p>
      <w:pPr>
        <w:pStyle w:val="BodyText"/>
      </w:pPr>
      <w:r>
        <w:t>Table I is restated on the repaired cohort: 50 contributing papers, 35 compound labels, 3303 extracted points, 257 temperature-axis fits, and 52 field-axis fits from 12 source papers. The candidate compound count does not move, because the candidate side does not depend on the anchors. The anchor count does. Twenty-six of the 96 per-paper anchor rows carry a withdrawal, so Figure 3 and the diagnostic of Sec. III.A are now computed on the remaining 70 and both cohorts are reported. An earlier version of this reply said the anchor count did not move, and that was wrong.</w:t>
      </w:r>
      <w:r/>
      <w:r/>
      <w:r/>
      <w:r/>
      <w:r/>
      <w:r/>
      <w:r/>
      <w:r/>
      <w:r/>
      <w:r/>
      <w:r/>
      <w:r/>
      <w:r/>
      <w:r/>
      <w:r/>
      <w:r/>
      <w:r/>
      <w:r/>
      <w:r/>
      <w:r/>
      <w:r/>
      <w:r/>
      <w:r/>
      <w:r/>
      <w:r/>
      <w:r/>
    </w:p>
    <w:p>
      <w:pPr>
        <w:pStyle w:val="BodyText"/>
      </w:pPr>
      <w:r>
        <w:t>The field-axis cohort falls from 94 fits to 52. Because that is a large change, the Supplemental Material now carries the disposition of all 94 individually: 52 kept, 24 on the three papers whose anchors we withdrew, 11 above the reduced temperature bound once the anchor is corrected, and 7 below the field bound once the scale is corrected. The deposited cohort remains in the deposit, so a reader can reproduce either version.</w:t>
      </w:r>
      <w:r/>
      <w:r/>
      <w:r/>
      <w:r/>
      <w:r/>
      <w:r/>
      <w:r/>
      <w:r/>
      <w:r/>
      <w:r/>
      <w:r/>
      <w:r/>
      <w:r/>
      <w:r/>
      <w:r/>
      <w:r/>
      <w:r/>
      <w:r/>
      <w:r/>
      <w:r/>
      <w:r/>
      <w:r/>
      <w:r/>
      <w:r/>
      <w:r/>
      <w:r/>
    </w:p>
    <w:p>
      <w:pPr>
        <w:pStyle w:val="BodyText"/>
      </w:pPr>
      <w:r>
        <w:t xml:space="preserve">Beyond the five above: the MgB2-class compound leave-one-out error is 0.753 rather than 0.772, the universal scaling reduction is 13.0% on the standard-deviation scale rather than 14.1%, and the external anchor-count errors are labelled in dex rather than as dimensionless exponent errors. The fifteen MgB2 temperature fits are described as the deposited file has them: six rest on three points rather than one, and the fit we reported with a root-mean-square residual of 6.3 has one of 6.3 times ten to the minus fourteen. The 233 evaluated records and the 212 retained after the calibration screen are record counts covering 183 distinct compounds. A second pass, made after the tables were frozen, found seven more, all corrected and none changing a conclusion. Section III.A applied a clustered null holding the sample-form counts fixed to two families and a looser one to the third, which made the MgB2-class floor read as 0.33; under the same null, that family admits one labelling and its probability is identically 1, so the caveat we make there is stronger than we stated it. Four places said the framework refuses to predict outside its validated scope, which our own conclusion contradicted two sentences later: the gates test a target against the calibrated window, and nothing refuses a family that could not be assessed, which is the family that emits. Supplemental Sec. 9 gave the iron chalcogenide family 55 candidates against Table IV's 49, and both gave it seven paper-reported anchors beside 24 reference-table ones, more anchors than the family has compounds; the deposit gives five. Supplemental Sec. 12 compared prediction scopes on 53 and 37 non-refused candidates at 1 T, where the deposited file has none in any family; we withdraw it rather than recompute it, since the families it ran on emit nothing and the one that emits was excluded by construction. The paragraph under Table S6 read a field span off a candidate refused at all nine of its grid points. And two counts were quoted on the cohort as deposited inside sentences quoting the repaired one: the 122-type family carries 105 temperature-axis fits rather than 106, and the temperature-axis cohort comes from 18 source papers, all arXiv preprints, rather than 18 of 20. Two values the submitted manuscript carried are withdrawn and recorded here rather than in the paper: the in-corpus baseline of 0.567 that Sec. III.B compared the 1.592 dex one-anchor error against, which is neither derivable from the deposit nor on the same scale, and the family medians of 6.00, 5.75 and 5.32 in log10 Jc at 0.1 T that Sec. III.E reported with a top-quartile slice entirely of iron chalcogenide 11-type, every prediction behind which this revision's reduced-field gate refuses. An artificial intelligence use disclosure has been added in accordance with APS policy, naming the models used at each stage, how they were directed, and how their output was verified, including the cross-model agreement gate that produced the audit above.</w:t>
      </w:r>
      <w:r>
        <w:t xml:space="preserve"/>
      </w:r>
      <w:r>
        <w:t xml:space="preserve"/>
      </w:r>
      <w:r>
        <w:t xml:space="preserve"/>
      </w:r>
      <w:r>
        <w:t/>
      </w:r>
      <w:r/>
      <w:r/>
      <w:r/>
      <w:r>
        <w:t xml:space="preserve"/>
      </w:r>
      <w:r>
        <w:t xml:space="preserve"/>
      </w:r>
      <w:r>
        <w:t xml:space="preserve"/>
      </w:r>
      <w:r>
        <w:t xml:space="preserve"/>
      </w:r>
      <w:r>
        <w:t xml:space="preserve"/>
      </w:r>
      <w:r>
        <w:t xml:space="preserve"/>
      </w:r>
      <w:r>
        <w:t xml:space="preserve"/>
      </w:r>
    </w:p>
    <w:p>
      <w:pPr>
        <w:pStyle w:val="BodyText"/>
      </w:pPr>
      <w:r>
        <w:t xml:space="preserve">We thank both referees again for the care they gave this manuscript. The paper is narrower</w:t>
      </w:r>
      <w:r>
        <w:t xml:space="preserve"> </w:t>
      </w:r>
      <w:r>
        <w:t xml:space="preserve">than the version they read, and we believe it is the better for it.</w:t>
      </w:r>
    </w:p>
    <w:p>
      <w:pPr>
        <w:pStyle w:val="BodyText"/>
      </w:pPr>
      <w:r>
        <w:t xml:space="preserve">Sincerely,</w:t>
      </w:r>
    </w:p>
    <w:p>
      <w:pPr>
        <w:pStyle w:val="BodyText"/>
      </w:pPr>
      <w:r>
        <w:t xml:space="preserve">The 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