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on the repaired anchor cohort sample form explains 81% of the within-family variance in the critical-current anchor for iron chalcogenide 11-type materials, on five physical samples, 37% for iron pnictide 122-type on five, and 4% for MgB2-class on 13, against 37%, 49% and 12% on the anchors as deposited.</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These regimes set the conditioning rule the predictor follows. Because sample form is very nearly a relabelling of source paper in this corpus, the separation between them is not established at any useful significance: the exact permutation probability cannot fall below 0.25 for the strongest of the three families and is identically 1 for the weakest.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substructure families, together with an explicit refusal decision for every candidate and prediction target. We state what validation stands behind that scope, since it is not uniform. Three families clear the compound leave-one-out threshold on the temperature axis, and no family-level verdict is reported on the field axis, where the substructure label does not separate the exponent at all. The MgB2 class, which is the only family that emits at the current gate settings, is one of the three that dispatch and not one of the three that clear: it carries no fits in the temperature-axis cohort and so is not assessable on the axis where the test can be run.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70 of 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 Fig. 3 draws the 70 rows carrying no withdrawal; Sec. III.A reports the diagnostic on both cohorts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and that holds each form's sample count at its observed value, the MgB2-class cell admits a single labelling and therefore returns a probability of 1 however clean its separation, while the iron chalcogenide and 122-type cells admit four labellings and ten. An earlier version of this section gave three labellings and a floor of 0.33 for the MgB2-class cell, which counts the ways of splitting its three source papers into two groups without holding the wire and bulk sample counts fixed, while the four and the ten were already the size-preserving counts; the same null is now applied to all three families. The exact probabilities are 0.25 for the iron chalcogenide cell, which is its floor, 0.30 for the 122-type cell and 1 for MgB2-class, and analysis/anchor_form_permutation.py enumerates them. The iron chalcogenide ratio of 0.81 is the largest of the ten arrangements its five samples admit, so it is the cleanest separation this cohort can produce and it still cannot reach a probability below 0.25.</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Ignoring the paper structure and permuting the form label directly over physical samples, which is the more favourable of the two tests, the MgB2-class ratio gives a probability of 0.49 on the repaired cohort of 13 physical samples and 0.21 on the deposited cohort of 15. Neither distinguishes this low ratio from a weak sample-form signal concealed by sampling noise.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893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89327"/>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The panels draw the repaired anchor cohort of Sec. III.F, the 70 of the 96 per-paper anchor records of Table I that carry no withdrawal. Of those 70, 40 fall in the three families shown and the remainder in families not plotted here. The 40 collapse to the 23 markers drawn, because multiple isotherms of one physical sample are averaged into a single record before plotting: 5 for iron chalcogenide 11-type, 5 for iron pnictide 122-type, and 13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A cell holding one record is flagged n = 1 and drawn without a median bar or interquartile band, since one point has no spread to characterize; no cell of the repaired cohort holds one.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repaired anchors, so the ratios shown are 0.81, 0.37 and 0.04; on the anchors as deposited the same three are 0.37, 0.49 and 0.12, and Sec. III.A and Table III give both cohorts. The regime assignment is the same on each. The two iron-based panels rest on five physical samples in two sample forms, and Sec. III.A gives the exact permutation probabilities that follow from that.</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An earlier version of this section called it the one result that improved under every correction. That is not accurate: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the 70 carrying no withdrawal form the repaired cohort Fig. 3 draws, and 40 of those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substructure families, of which one emits at the current gate settings. Two of the three clear the compound leave-one-out threshold on the temperature axis; the family that emits is not assessable on that axis and no family-level field verdict is reported for any family.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reported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for two families, none for MgB2-class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106 temperature-axis fits give 1.171 on the exponent as deposited and 0.563 on the repaired exponent, and every one of them was repaired.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substructure families, together with an explicit refusal decision for each of 183 candidate compounds and each prediction target, of which 84 compounds receive at least one dispatched target. The validation behind that scope is graded and we state it as such: three families clear the compound leave-one-out threshold on the temperature axis, no family-level verdict is reported on the field axis, and the one family that dispatches is not assessable on the temperature axis.</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