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What the paper establishes</w:t>
      </w:r>
    </w:p>
    <w:p>
      <w:pPr>
        <w:pStyle w:val="BodyText"/>
      </w:pPr>
      <w:r>
        <w:t>The reply below is long and is organized around the referees' objections rather than around the results, so we state the results here first. The paper makes four claims and each is stated with the evidence that carries it.</w:t>
      </w:r>
    </w:p>
    <w:p>
      <w:pPr>
        <w:pStyle w:val="BodyText"/>
      </w:pPr>
      <w:r>
        <w:t>Universal reduced-variable scaling does not organize this corpus. Normalizing temperature and field by their critical values reduces the within-bin scatter of log10 Jc by 13.0% on the standard-deviation scale and 24.3% on the variance scale, and two direct tests say the same without reference to any threshold: the reduced coordinates carry no more structure than the same grid rotated to a random angle, and unnormalized laboratory temperature and applied field organize the same records better, 67.0% against 39.3%, by isolating compounds rather than collapsing them.</w:t>
      </w:r>
    </w:p>
    <w:p>
      <w:pPr>
        <w:pStyle w:val="BodyText"/>
      </w:pPr>
      <w:r>
        <w:t>Substructure family separates the temperature exponent. With source papers as the unit and the family label shuffled between them, the family accounts for 0.524 of the between-paper variance at a permutation probability of 0.007. Against an exhaustive enumeration of every alternative way of grouping the same eight compounds into three families, 966 in all, the exact probability is 0.0041. It survives on exponents rebuilt independently from the source figures, at 0.359 and 0.037.</w:t>
      </w:r>
    </w:p>
    <w:p>
      <w:pPr>
        <w:pStyle w:val="BodyText"/>
      </w:pPr>
      <w:r>
        <w:t>Nothing generalizes across source papers. Under a holdout that withholds every measurement of a paper, none of the three candidate functional forms reaches a median error below 0.9 dex, against 0.32 to 0.45 dex when the holdout is drawn within a compound. That is a factor of eight in critical current between predicting an unseen measurement and predicting an unseen paper, and it is the heterogeneity this paper is about, measured a second way.</w:t>
      </w:r>
    </w:p>
    <w:p>
      <w:pPr>
        <w:pStyle w:val="BodyText"/>
      </w:pPr>
      <w:r>
        <w:t>The framework declines to predict outside its validated scope. Of the targets it was asked for, 1054 are refused for lying below the validated reduced field and 93 for lying at or above the reduced-temperature bound, leaving 163 emitted over 84 compounds, each carrying the scope it was emitted under.</w:t>
      </w:r>
    </w:p>
    <w:p>
      <w:pPr>
        <w:pStyle w:val="BodyText"/>
      </w:pPr>
      <w:r>
        <w:t>One further property bears on how the rest of this reply should be read. Every figure in the paper regenerates from the deposited data, every printed count is asserted against the deposited tables by a script that ships with the paper, and where a quantity could not be reproduced we say so and give the figure that can. The corrections listed below are the output of that standard, applied by us before submission, rather than a list of things we happened to notice.</w:t>
      </w:r>
    </w:p>
    <w:p>
      <w:pPr>
        <w:pStyle w:val="BodyText"/>
      </w:pPr>
      <w:r>
        <w:t xml:space="preserve">The central results survive and are stated more precisely. Universal reduced-variable scaling does not organize the corpus. It reduces the within-bin scatter by 13.0% on the standard-deviation scale, replacing a previously reported 14.1% whose numerator and denominator had been computed on different populations, and that result is insensitive to a 35% perturbation of the estimated critical fields. We have withdrawn the 30% adoption threshold it was compared against, because we could give no construction for it, and Sec. III.D now tests the scaling claim directly: the reduced coordinates carry no more structure than the same grid rotated to a random angle, and unnormalized temperature and applied field organize the same records better by isolating compounds. The conditioning claim rests on the temperature-axis separation of Sec. III.C, not on the variance-decomposition diagnostic and not on the error ratio Referee A questioned. The applicability claim is narrowed, the field-axis results are retained but labelled with the scale that produced them, and the output is restated as family-scope envelopes together with a refusal decision. The manuscript is longer because each point needed its evidence set out, and it carries eleven displayed equations, four tables, and a numbered inference procedure.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The data and the analysis code are now public at https://github.com/prachetpoddar/HT10016-critical-current-prediction, so the referee can read the tables and rerun the scripts while assessing the paper. We agree this belonged in the revision rather than deferred to publication. The Data Availability statement now specifies a deposit containing curve-level metadata, fitted exponents, anchor values with their provenance tier, substructure and sample-form labels, validation splits, refusal flags, and the candidate prediction table. Critical-field records additionally carry the identifier and the type of the source figure from which each value was read, which is what makes the provenance problem described below independently checkable rather than something the reader must take on trust. Section 13 of the Supplemental Material reports that audit with its counts, and Section 11 with Table S1 links every fitted exponent that enters the analysis to an auditable literature record. The corpus enumeration behind the field-axis discussion is deposited as a per-paper table covering the archived corpus.</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also brought examples into the Supplemental Material itself, so that the referee can 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Table S4 gives curve-level anchor records, one row per physical sample per paper, including five bulk specimens of the same compound from one paper that differ only in processing atmosphere and span 0.26 dex. Table S5 gives fitted field-axis exponents alongside both critical-field values, the resolved one used in the fit and the literature zero-temperature one, with the provenance string for each. Table S6 gives candidate dispatch rows, including refused rows carrying their reason code and no value. We selected these rows to be useful rather than favourable: Table S5 includes the fits whose resolved scale sits far below the literature value and whose exponents run against the numerical bound, since those are the fits that motivate the qualification in Sec. III.F, and they should be visible in the paper rather than only in the deposit.</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Section II.C now defines the scaling exponent, the two exponents, and the intercept at first use, and states that an exponent is a dimensionless number. The referee is right that identifying the anchor with the pre-exponential factor is a connection we should have made. Section III opens with two conventions: errors in a fitted exponent are dimensionless, and only errors in the logarithm of the critical current are quoted in dex. Table S2 of the Supplemental Material now gives the condensed-matter reading of every term the referee lists, including the anchor as the pre-exponential factor, the substructure as a material family, the cell as a group of comparable specimens, and dex as a factor of ten. We have signposted that table where the vocabulary first becomes dense.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The expression is an empirical parameterization over a restricted interval, which is what the applicability window enforces, and not a description valid to arbitrarily low temperature. That is the referee's closing sentence and it is now the paper's own position; we have restructured the treatment of the expression around it.</w:t>
      </w:r>
      <w:r>
        <w:t xml:space="preserve"/>
      </w:r>
      <w:r>
        <w:t xml:space="preserve"/>
      </w:r>
      <w:r>
        <w:t xml:space="preserve"/>
      </w:r>
      <w:r>
        <w:t xml:space="preserve"/>
      </w:r>
      <w:r>
        <w:t xml:space="preserve"/>
      </w:r>
      <w:r>
        <w:t xml:space="preserve"/>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 where a paper's critical scale was held fixed across measurement temperatures, the fitted field exponent drifts systematically with temperature. Across the series holding one scale over three or more temperatures the median absolute rank correlation between exponent and temperature is 0.80. That figure has moved since the deposited version and we give both: as first deposited there were 18 such series with a median of 0.70, rising to 0.80 in the nine sampled at four or more temperatures, and after the withdrawals described below there are 13 and 6, both at 0.80. The effect is unchanged in direction and slightly larger. A series is one source paper, one sample and one held scale, which is what makes the scale held by construction. We withdraw the worked example we gave, for two reasons.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the exponent is not monotone over the window we quoted: it falls from 1.25 at 2 K to 0.82 at 10 K before rising to 12.14 at 35 K, a rank correlation of 0.79 rather than the near-unity our phrasing implied. The sentence described a rise that does not happen over the first third of its own range, and we would have had to correct it whatever became of the unit. In its place, with a caveat we state rather than leave to be found: the clearest surviving case is the Ba(Fe,Co)2As2 single crystal of Materials Today Physics 27 (2022) 100783, scale held at 4.5 T, whose exponent rises from 0.26 to 0.86 across nine temperatures from 4.2 to 18 K with a rank correlation of 1.00. Exactly two series in the surviving cohort clear our filters and both come from that paper, the other a polycrystal record we have since identified as a copy of this one and withdrawn. This record is itself graded weak in our audit, sitting 1.3 to 1.7 times above a retrace of its own figure with a wrong tail, so we offer it as the best surviving illustration and not as a clean one. Over that range the exponent measures the misspecification rather than the pinning physics. The same assumption states the two further departures the referee identifies, the exponential or stretched-exponential low-temperature behaviour from thermal activation of vortices and the change of dominant pinning regime with field and temperature, which together mean a single exponent per axis describes an average over regimes rather than one mechanism.</w:t>
      </w:r>
      <w:r>
        <w:t xml:space="preserve"/>
      </w:r>
      <w:r>
        <w:t xml:space="preserve"/>
      </w:r>
      <w:r>
        <w:t xml:space="preserve"/>
      </w:r>
      <w:r>
        <w:t/>
      </w:r>
      <w:r/>
      <w:r/>
      <w:r/>
      <w:r/>
      <w:r/>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Our applicability window does not handle two things the referee's objection exposes, and rather than report the affected targets as predictions we now refuse them. The window bounds reduced temperature only from above, so it does not exclude the low-temperature regime at all, and our own worked example runs to 2 K while the dispatch reports at 4.2 K. And it requires reduced field above 0.3, which most of the dispatch grid did not meet. A per-point gate on each half of the window removed 1054 targets below the reduced-field bound and 93 at or above the reduced-temperature bound, leaving 163 emitted targets over 84 compounds, all at a reduced field of 0.3226. We should be exact about that bound. Eq. (1) admits a curve to the fit on the width of its measured field interval, not on where a single point sits, so the two are not the same test; we apply the stricter reading to what we emit and say so. Assumption 1 now states both plainly, and Section III.E carries the second as a labelled limitation ahead of any dispatched value rather than after it.</w:t>
      </w:r>
      <w:r>
        <w:t xml:space="preserve"/>
      </w:r>
      <w:r>
        <w:t xml:space="preserve"/>
      </w:r>
      <w:r>
        <w:t xml:space="preserve"/>
      </w:r>
      <w:r>
        <w:t xml:space="preserve"/>
      </w:r>
      <w:r>
        <w:t xml:space="preserve"/>
      </w:r>
      <w:r>
        <w:t/>
      </w:r>
      <w:r/>
      <w:r/>
      <w:r/>
      <w:r/>
      <w:r>
        <w:t xml:space="preserve"/>
      </w:r>
      <w:r>
        <w:t xml:space="preserve"/>
      </w:r>
      <w:r>
        <w:t xml:space="preserve"/>
      </w:r>
      <w:r>
        <w:t xml:space="preserve"/>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on 13 physical samples, against 81% for the iron chalcogenides on five, and corrected for the upward bias this statistic carries at small sample size the MgB2-class value is negative: the separation between sample forms here is smaller than the grouping produces by chance. Section III.A states that this is consistent with the two-band character of MgB2 and its documented sensitivity to production route, both acting through variables a sample-form label does not capture. We concede the test itself, separately from the result. Sample form is very nearly a relabelling of source paper in this corpus: one of the 29 contributing papers carried more than one sample form before the repair and none of the 20 does after it. Under a null that shuffles the form label between papers,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our corpus does not contain; we name that as the specific data requirement. Separately, and this is our error rather than a limit of the literature: 26 of the 96 anchor rows behind this diagnostic held values contradicting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At 1 T against a 50 T upper critical field the reduced field is 0.02, so the field term of our expression has barely engaged, and what Figure 5 was showing was close to a self-field quantity. The referee is correct, and this turned out to be more than a matter of presentation. Section III.E now states it explicitly and cites Talantsev and Tallon, whose result the referee raises, as reference [42]. We report the family median at 4.2 K and 5 T, one of the two grid points that survive the refusal gates, which is a reduced field of 0.3226 rather than the near-self-field point the referee identified. The low-field targets the objection bears on are refused rather than reported.</w:t>
      </w:r>
      <w:r>
        <w:t xml:space="preserve"/>
      </w:r>
      <w:r>
        <w:t xml:space="preserve"/>
      </w:r>
      <w:r>
        <w:t xml:space="preserve"/>
      </w:r>
      <w:r>
        <w:t xml:space="preserve"/>
      </w:r>
      <w:r>
        <w:t xml:space="preserve"/>
      </w:r>
      <w:r>
        <w:t xml:space="preserve"/>
      </w:r>
      <w:r>
        <w:t xml:space="preserve"/>
      </w:r>
      <w:r>
        <w:t/>
      </w:r>
      <w:r/>
      <w:r/>
      <w:r/>
      <w:r/>
      <w:r/>
      <w:r/>
    </w:p>
    <w:p>
      <w:pPr>
        <w:pStyle w:val="BodyText"/>
      </w:pPr>
      <w:r>
        <w:t xml:space="preserve">The referee's suggestion and the next criticism are connected. If the self-field critical current is set mainly by the London penetration depth and depends only weakly on doping, sample shape and production route, then predictions evaluated near self-field should cluster, which is the narrow spread the referee questions below. We have adopted the suggestion. Figure 5 is redrawn against reduced field over the window across which the exponent is validated, rather than against absolute field to 10 T, where the reduced field reaches only about 0.2. Redrawing it changed a claim. The three fields at which the dispatch grid is evaluated all fall in the low-reduced-field corner, and plotted across the validated range the envelopes are not parallel: the iron chalcogenide and iron pnictide curves cross at a reduced field of 0.58, above which the 122-type envelope is the higher of the two, by 0.69 dex at a reduced field of 0.9. Section III.E previously said the family ordering was unchanged at every evaluated field. That remains true of the three evaluated fields, and the text now says so in those terms and reports the crossing alongside it. The screening claim is now limited to low reduced field. The crossing follows from the fitted field exponents and the critical-field anchors, the two quantities Section III.F qualifies, so we report it to bound the screening claim and not as a prediction that the 122-type family overtakes the 11-type in high field. We would not have seen this without the referee's suggestion.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 explanation is structural. Section III.E now reports it, and this revision's reduced-field gate has narrowed what there is to report: only the MgB2 class still dispatches, and the iron chalcogenide and iron pnictide 122-type dispatches are refused in full. A count needs correcting first.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there; at 20 K and 5 T the 77 records span 0.259 dex. At 20 K the explanation we gave holds: the conditioning fixes every parameter of the expression, the compound-specific inputs are the critical-field anchor and the transition temperature, and the prediction regresses on the temperature term with a slope of 1.22 and an R squared of 0.996, recovering the family exponent of 1.14. At 4.2 K it cannot enter, and this is the part we had not seen. The model is anchored at a reference point whose temperature is 4.2 K at a reference point and its temperature term is the difference between log10(1 - T/Tc) and the same quantity at that reference, whose temperature is 4.2 K. That difference is therefore identically zero for every candidate whatever its transition temperature, and across 59 distinct anchors from 8.9 to 41.4 K the largest value the term takes is exactly zero. Every dispatched record also carries the same 15.5 T parent anchor, so the field term is one shared number. The prediction there is a single family-level constant, 4.980 in log10 Jc, the family's critical-current anchor of 5.324 displaced by 0.344 dex. The referee's reading is right and the figure supports it more strongly than we claimed. The 0.0098 dex is not a spread between compounds: all 86 records have identical model inputs and differ only in their draw from one bootstrap stream over a pool of 18 fits. Resampling that pool 84 times independently returns a span of 0.0092 dex with a standard deviation of 0.0016, of which the observed value is an ordinary draw. It is evidence that the predictor is constant at that point and evidence of nothing else, and we no longer offer it as a measured quantity. A compound-resolved spread would need a dispatch grid that does not evaluate at the anchor's own reference temperature, which the present grid does.</w:t>
      </w:r>
      <w:r>
        <w:t xml:space="preserve"/>
      </w:r>
      <w:r>
        <w:t xml:space="preserve"/>
      </w:r>
      <w:r>
        <w:t xml:space="preserve"/>
      </w:r>
      <w:r>
        <w:t/>
      </w:r>
      <w:r/>
      <w:r/>
      <w:r/>
      <w:r/>
      <w:r/>
      <w:r/>
      <w:r/>
      <w:r/>
      <w:r/>
      <w:r/>
      <w:r/>
      <w:r/>
    </w:p>
    <w:p>
      <w:pPr>
        <w:pStyle w:val="BodyText"/>
      </w:pPr>
      <w:r>
        <w:t>On precision, we have adopted the referee's correction and no longer carry a third digit. The width itself has changed. The 0.388 dex the referee read was the median over the predictions emitted before this revision's reduced-field gate; over the 163 predictions that survive our refusal gates the median full width is 0.61 dex, a factor of about 4.1, and 0.60 dex at the 4.2 K grid point.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 Fitted errors and exponents are still given to three figures where they are compared across families, since rounding to two would collapse distinctions the applicability table turns on, and we have removed the third digit wherever it carried no comparison. We have also adopted the suggested gloss, giving the width as a factor in the critical current rather than only in dex: it is a factor of about 4.1, and Table S2 carries the same conversion for dex generally.</w:t>
      </w:r>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Section II.A now states that the Elsevier and Springer interfaces supplied the retrieval and screening corpus, that 18 of the 20 source papers behind the temperature-axis cohort are arXiv preprints, and that the field-axis cohort additionally includes nine records digitized from National High Magnetic Field Laboratory datasets. The data are not limited to those two sources, and our earlier text implied otherwise, which we regret. We also state plainly that the retrieval is candidate-driven rather than exhaustive, so the corpus does not span all published literature and the coverage is biased toward the venues queried. All source identifiers are enumerated in the deposit.</w:t>
      </w:r>
      <w:r>
        <w:t xml:space="preserve"/>
      </w:r>
      <w:r>
        <w:t xml:space="preserve"/>
      </w:r>
      <w:r>
        <w:t xml:space="preserve"/>
      </w:r>
      <w:r>
        <w:t/>
      </w:r>
      <w:r/>
      <w:r>
        <w:t/>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Table I of Section II.A now gives the full ladder in one place: 934 articles screened, 50 contributing fitted curves, 35 distinct compound labels, 3303 extracted critical-current points, 257 temperature-axis fits, 52 field-axis fits from 12 source papers, and 96 per-paper anchors behind Figure 3, of which the 70 carrying no withdrawal are the cohort the figure now draws. We accept the objection and have separated the screening corpus from the evidence base for any fitted quantity. The counts for contributing papers, compounds and extracted points are lower than in the previous revision because eleven papers were withdrawn and their provenance rows had not been removed with them; the reasons are set out below. The figure of 50 now appears first in the main text rather than in the Supplemental Material, and the abstract leads with the smaller numbers rather than with 934. The referee is also right that the figure and the tables appear to disagree, and we should have labelled the difference. The markers in Figure 3 are per physical sample, one per source paper and specimen with multiple isotherms of the same specimen averaged into a single record, while the tables count per-curve fits, so the two are different objects. The caption now gives both numbers, the 56 of the 96 anchors falling in the three panels shown and the 37 markers they collapse to, and we accept that the panels are overplotted enough that counting the markers by eye could not have given the right figure.</w:t>
      </w:r>
      <w:r>
        <w:t xml:space="preserve"/>
      </w:r>
      <w:r>
        <w:t/>
      </w:r>
      <w:r/>
      <w:r/>
      <w:r/>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and labelling them in dex is what made 10.10 read as ten orders of magnitude in current density. This is corrected throughout. The cohorts were mismatched too: the larger error came from the nine substructure families of an earlier version of this analysis and the smaller from the five carrying populated sample-form cells. Matching them removes that defect but not a worse one we found on re-examination: in both versions the predictor for a held-out family was built from a pool containing that family's own fits, so neither was a statement about generalization. Under leave-one-substructure-out we can report no fold improvement at all, and give the errors instead. On the fits passing physicality the mean absolute error in the exponent is 1.19 without conditioning and 0.55 with it; across the seven families carrying a descriptor it is 12.3 and 14.9, which is conditioning doing worse than not conditioning. We withdraw the 1.07, 2.24 and 1.83 an earlier version of this reply quoted, because they repeat the defect they were introduced to replace. The sample-form scope is undefined for the MgB2 class, since once the cuprate families are gated out no other family contributes a bulk or wire fit, so 2.24 and 1.83 divide a four-family numerator by a three-family denominator, which is the mismatched-cohort error we identify above as the reason the 23-fold was wrong. Matched over the families the predictor can score they are 2.17 and 2.11; they were also the lowest of four ways of forming the conditional prediction, and the lowest is not the same one on every cohort. Nor is the protocol stable at this scope: on the 52 field-axis fits surviving the anchor repairs and the fitting protocol there are four families and four folds, the unconditioned stage is a two-parameter fit on three training points in each, and removing any single family moves the ratio between 0.74 and 550. The objection is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 The referee is further correct that the cuprates dominate the residual: Section 1 of the Supplemental Material reports 59% of the residual mass against 43% of the cohort, and three cuprate substructures reach the imposed regression ceiling because their measured field windows lie far below the critical field. Every exponent entering the ratio inherits the field-scale qualification described below. The same test found the mismatched-cohort error a second time: the 26.8% anchor-count reduction in Section III.B compared a three-compound one-anchor value against a four-compound three-anchor one, and the matched pair, 1.267 to 0.694, gives 45.2%, which is the figure we now carry.</w:t>
      </w:r>
      <w:r>
        <w:t xml:space="preserve"/>
      </w:r>
      <w:r>
        <w:t xml:space="preserve"/>
      </w:r>
      <w:r>
        <w:t xml:space="preserve"/>
      </w:r>
      <w:r>
        <w:t xml:space="preserve"/>
      </w:r>
      <w:r>
        <w:t xml:space="preserve"/>
      </w:r>
      <w:r>
        <w:t/>
      </w:r>
      <w:r>
        <w:t xml:space="preserve"/>
      </w:r>
      <w:r>
        <w:t xml:space="preserve"/>
      </w:r>
      <w:r>
        <w:t xml:space="preserve"/>
      </w:r>
      <w:r>
        <w:t/>
      </w:r>
      <w:r/>
      <w:r>
        <w:t xml:space="preserve"/>
      </w:r>
      <w:r>
        <w:t xml:space="preserve"/>
      </w:r>
      <w:r>
        <w:t xml:space="preserve"/>
      </w:r>
      <w:r>
        <w:t xml:space="preserve"/>
      </w:r>
      <w:r>
        <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r/>
    </w:p>
    <w:p>
      <w:pPr>
        <w:pStyle w:val="BodyText"/>
      </w:pPr>
      <w:r>
        <w:t>The conditioning claim no longer rests on this ratio at all, and we have to be careful about what we move it onto. An earlier version of this reply rested it on the variance-decomposition diagnostic. That will not do, for the reason conceded above: sample form is very nearly a relabelling of source paper, so under the only null that respects that structure the iron chalcogenide cell cannot reach a probability below 0.25, the 122-type cell below 0.10, and the MgB2-class cell returns 1 whatever its separation.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The claim rests on the temperature axis, and the evidence is the permutation test reported below: with source papers as the unit and the substructure label shuffled between them, the family accounts for a rising fraction of the between-paper variance in the temperature exponent as the anchors are corrected, while on the field axis it accounts for essentially none. Neither the ratio the referee questioned nor the sample-form diagnostic carries the claim. We had also described it as the one result that improved under every correction; the audit section below withdraws that description and gives the full history.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The data-layer limitations of Section III.F now record that the framework has not been validated on the deployed conductor materials, that REBCO in particular does not obey our expression over the ranges of interest, and that the cuprates enter the work two ways, five cuprate papers in the fitted cohort and four out-of-corpus cuprates as the external validation set, where they exhibit measurement-window saturation. We concede the point and state it as a limit on the work rather than as a gap to be filled later. We add the referee's point that these materials have critical fields higher than can be directly measured and a much stronger field-angle dependence, which means that extending the framework to them is not a matter of adding data. It would require a functional form appropriate to their pinning behaviour and an orientation-resolved treatment that our current extraction does not support.</w:t>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The runtime workflow is now six stages rather than five. Following the referee's arrows showed that a stage was missing from the architecture, not only a line: between extraction and fitting the workflow resolves the transition temperature and the critical field for each fitted curve, and that stage was not shown at all. It is where the defects reported below occur. The critical-scale resolution stage is now shown explicitly with its provenance tiers, and the caption specifies labelled arrows carrying the information passed between stages. The figure has been redrawn to that specification: a vertical six-stage flow in which every arrow is labelled with what it carries, and the critical-scale resolution stage is highlighted. The refusal branch leaves the dispatch stage explicitly, so that refusal reads as an output of the predictor rather than as an omission.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 scale, reported in Section III.F and in Section 13 of the Supplemental Material. Sixteen papers from the field-axis cohort were read independently by two vision-language models of a later generation than the pair used for extraction, each prompted separately and each told that "no such data in this paper" is a correct answer. For eight of the sixteen, both models reported that the paper contains no plot of critical field against temperature, while the pipeline held extracted values for all eight, in each case from a figure showing something else. Across the cohort the assigned scale barely exceeds the largest field measured on the curve it anchors: the median ratio of measured maximum to assigned scale is 0.88, and 11 of the 52 curves admitted by the stated fitting protocol sit above 0.9, against 0.80 and 15 of 94 on the cohort as published under the same rule, so the exposure rises rather than falls once the anchors are repaired. That is how a scale read from a curve endpoint behaves, not how an independently measured critical field behaves. Two further defects compound this. The resolution routine returned the nearest series endpoint rather than extrapolating, underestimating the scale by a median factor of 6.7 across the 38 fits it affects. And five papers carried a magnetic field unit error in which kilo-oersted had been recorded as tesla, since corrected in the deposited data.</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w:r>
      <w:r/>
      <w:r>
        <w:t xml:space="preserve"/>
      </w:r>
      <w:r>
        <w:t xml:space="preserve"/>
      </w:r>
      <w:r>
        <w:t xml:space="preserve"/>
      </w:r>
    </w:p>
    <w:p>
      <w:pPr>
        <w:pStyle w:val="BodyText"/>
      </w:pPr>
      <w:r>
        <w:t xml:space="preserve">We attempted a rebuild against a properly temperature-resolved critical scale and could not complete it. The reason lies in the literature rather than in our pipeline. A caption-scoped screen over the 2594 papers in the archive finds 137 carrying captions for both measurements, 117 of them in the three dispatched families. Whether a candidate is usable turns on its measured field span, which can only be settled by reading the numbers, so 29 candidates prioritized by family need were read independently by two models and span-tested. Four MgB2-class and two iron chalcogenide papers pass, one of the latter borderline, and no iron pnictide 122-type paper passes, in every case because the paper reports no critical field of its own. Only the MgB2 class clears the three-paper threshold set before the search, and the 122-type family, which needed the evidence most, yielded nothing. Requiring a shared compound and shared authorship, cross-paper pairing of a critical-current paper with a separate critical-field paper returns no valid pairs. The literature we could reach does not supply the pairing we need. It does not follow that the remaining candidates contain none, and the deposited screen lists every candidate so the search can be continued rather than repeated. We report this as a finding rather than an obstacle: it is the same comparability principle the paper argues for, applied one level down.</w:t>
      </w:r>
      <w:r>
        <w:t xml:space="preserve"/>
      </w:r>
      <w:r>
        <w:t/>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does not reproduce from its own generator. Running the deposited dispatch code on the deposited tables returns the released file exactly, with one exception: for two records of one paper the generator commits to a wire sample-form cell and the released file does not, and those two records carry four of the emitted predictions. Every other column matches and the remaining predictions differ by at most 0.014 in log10 Jc, which is the bootstrap draw. The difference predates this revision and none of the corrections reported above is implicated. Separately, our withdrawals were applied by editing the deposited tables while the candidate list is rebuilt from the extraction directory, so regenerating restores six withdrawn candidates; all six are refused and no emitted prediction changes, but the generator cannot enforce a withdrawal and we say so rather than leave a reader to find it. Both are recorded in the deposited audit.</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reported that earlier as a result that strengthened under every correction, and we withdraw that description, because the full history does not support it and a referee reading the deposit would find so. Three things belong beside the number. Before the eleven paper withdrawals there is no separation at all: the fraction is 0.107 with a probability of 0.355, and our own note on those withdrawals records that the screen which selected them is not independent of the exponent and acted in opposite directions in different families, so most of the rise cannot be read as evidence. At the step that removed two papers whose extractions could not be reproduced, the fraction rose while the probability rose with it, from 0.012 to 0.016, so the two halves of the result did not move together. And the exponents do not reproduce from their own figures: of the fourteen we could score against a pixel trace, none does, at a median ratio of 0.42. On the exponents rebuilt from those traces, deposited with the paper, the separation survives at 0.359 with a probability of 0.037 while the applicability result does not. What we can defend is narrower than what we first wrote and it is tested harder. The obvious objection to a family label is that it is compound identity with fewer labels, and that can be settled by enumeration rather than sampling: the eight compounds admit 966 distinct ways of forming three families, four reach the observed separation, and the exact probability is 0.0041, or 0.0083 with one observation per compound. One alternative grouping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report the field axis as not separating the families rather than omitting it. A final pass over every reported quantity found five more defects, all corrected. The 30% adoption threshold our universality claim was compared against had no construction anywhere in our analysis, and the quantity its own defining sentence named as the benchmark was twenty times smaller; it is withdrawn, and Sec. III.D now tests the scaling claim directly against coordinates chosen to carry no physics. Stage 3's error of 0.84 was described as a leave-one-substructure-out result and is not one: the held-out family predicted itself, the same defect we concede above for Stages 1 and 2 and from the same run. Under genuine withholding it is 0.816. The propagated uncertainty of 0.29 dex used a temperature-exponent scatter that does not reproduce from our own deposit and predates the anchor repair; on the repaired exponent it is 0.27 dex, and the accompanying statement that a correlation between the terms would make it a lower bound is wrong for this functional form, so we claim no bound. Table II's holdout margin does not separate Form 3 from Form 2 once the three forms are scored on identical rows and the same compounds, so Sec. II.C adopts Form 3 for the separability the rest of the paper requires and reports the comparison as it falls. And the per-family parameters behind Figure 5 could not be regenerated from the deposit at all, because the module producing them fitted them to the predictor's own output; they are now the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candidate compound count does not move, because the candidate side does not depend on the anchors. The anchor count does. Twenty-six of the 96 per-paper anchor rows carry a withdrawal, so Figure 3 and the diagnostic of Sec. III.A are now computed on the remaining 70 and both cohorts are reported. An earlier version of this reply said the anchor count did not move, and that was wrong.</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 is 0.753 rather than 0.772, and the universal scaling reduction is 13.0% on the standard-deviation scale rather than 14.1%. The Stage 3 error is 0.816 rather than 0.84 and is no longer called a leave-one-substructure-out result. The external anchor-count errors are labelled in dex rather than as dimensionless exponent errors, the same unit repair described above applied where we had missed it. The propagated uncertainty is 0.27 dex rather than 0.29. The fifteen MgB2 temperature fits are described as the deposited file has them, six resting on three points rather than one, and the fit we reported with a root-mean-square residual of 6.3 has one of 6.3 times ten to the minus fourteen. The candidate cohort comprises 183 distinct compounds, and the 233 evaluated records and 212 retained after the calibration screen are record counts in which one compound may appear more than once. The Supplemental Material now carries the disposition of all 94 field-axis fits individually, which an earlier version of this letter said it did. An artificial intelligence use disclosure has been added in accordance with APS policy, naming the models used at each stage, how they were directed, and how their output was verified, including the cross-model agreement gate that produced the audit above.</w:t>
      </w:r>
      <w:r>
        <w:t xml:space="preserve"/>
      </w:r>
      <w:r>
        <w:t xml:space="preserve"/>
      </w:r>
      <w:r>
        <w:t xml:space="preserve"/>
      </w:r>
      <w:r>
        <w:t/>
      </w:r>
      <w:r/>
      <w:r/>
      <w:r/>
      <w:r>
        <w:t xml:space="preserve"/>
      </w:r>
      <w:r>
        <w:t xml:space="preserve"/>
      </w:r>
      <w:r>
        <w:t xml:space="preserve"/>
      </w:r>
      <w:r>
        <w:t xml:space="preserve"/>
      </w:r>
      <w:r>
        <w:t xml:space="preserve"/>
      </w:r>
      <w:r>
        <w:t xml:space="preserve"/>
      </w:r>
      <w:r>
        <w:t xml:space="preserve"/>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