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 xml:space="preserve">field exponent drifts systematically with temperature. Across the 18 series in which one</w:t>
      </w:r>
      <w:r>
        <w:t xml:space="preserve"> </w:t>
      </w:r>
      <w:r>
        <w:t xml:space="preserve">scale was held over three or more measurement temperatures, the median absolute rank</w:t>
      </w:r>
      <w:r>
        <w:t xml:space="preserve"> </w:t>
      </w:r>
      <w:r>
        <w:t xml:space="preserve">correlation between exponent and temperature is 0.70, rising to 0.80 in the nine series</w:t>
      </w:r>
      <w:r>
        <w:t xml:space="preserve"> </w:t>
      </w:r>
      <w:r>
        <w:t xml:space="preserve">sampled at four or more temperatures. In the clearest case, SmFeAsO0.8F0.2 with a scale held at 86 T, the fitted</w:t>
      </w:r>
      <w:r>
        <w:t xml:space="preserve"> </w:t>
      </w:r>
      <w:r>
        <w:t xml:space="preserve">exponent runs from 1.25 to 12.14 as the temperature rises from 2 to 35 K.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the one grid point that survives the refusal gates, 4.2 K and 5 T,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At 4.2 K and 5 T, the one grid point that survives the gate, the 86 MgB2-class records covering 84 distinct compounds span 0.0098 dex, which is 1.6% of the 0.60 dex bootstrap interval at that point. The conditioning fixes every parameter of the expression, and the compound-specific inputs are the critical-field anchor, which enters through the field term, and the transition temperature, which enters through the temperature term.</w:t>
      </w:r>
      <w:r/>
      <w:r/>
      <w:r/>
      <w:r/>
      <w:r/>
      <w:r/>
      <w:r/>
      <w:r/>
      <w:r/>
      <w:r>
        <w:t xml:space="preserve"> The narrow spread was therefore not evidence of precision. The predictor is constant by</w:t>
      </w:r>
      <w:r>
        <w:t xml:space="preserve"> </w:t>
      </w:r>
      <w:r>
        <w:t xml:space="preserve">construction, and the paper now says so and states what the framework may claim as a result.</w:t>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the manuscript now reports that.</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the improvement is between one and about two-fold and depends on the cohort: 1.07-fold across the seven families carrying a descriptor, 2.24-fold on the fits passing physicality, and 1.83-fold with the cuprate families removed. Those are the figures we now report, and we no longer offer a single fold-improvement headline.</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 xml:space="preserve">The conditioning claim no longer rests on this ratio at all. It rests on</w:t>
      </w:r>
      <w:r>
        <w:t xml:space="preserve"> </w:t>
      </w:r>
      <w:r>
        <w:t xml:space="preserve">the variance-decomposition diagnostic, which is computed on the critical-current anchor and</w:t>
      </w:r>
      <w:r>
        <w:t xml:space="preserve"> </w:t>
      </w:r>
      <w:r>
        <w:t xml:space="preserve">uses neither a fitted exponent nor a critical field scale. We verified that quantity</w:t>
      </w:r>
      <w:r>
        <w:t xml:space="preserve"> </w:t>
      </w:r>
      <w:r>
        <w:t>independently of the corrections: all 96 per-paper anchor groups are identical before and after</w:t>
      </w:r>
      <w:r/>
      <w:r>
        <w:t xml:space="preserve"> the magnetic-field unit repair described below.</w:t>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