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SUPPLEMENTAL MATERIAL: Substructure-conditional critical current</w:t>
      </w:r>
      <w:r>
        <w:rPr>
          <w:bCs/>
          <w:b/>
        </w:rPr>
        <w:t xml:space="preserve"> </w:t>
      </w:r>
      <w:r>
        <w:rPr>
          <w:bCs/>
          <w:b/>
        </w:rPr>
        <w:t xml:space="preserve">density prediction from heterogeneous superconductor literature</w:t>
      </w:r>
    </w:p>
    <w:p>
      <w:pPr>
        <w:pStyle w:val="BodyText"/>
      </w:pPr>
      <w:r>
        <w:t xml:space="preserve">Prachet Poddar,</w:t>
      </w:r>
      <w:r>
        <w:rPr>
          <w:vertAlign w:val="superscript"/>
        </w:rPr>
        <w:t xml:space="preserve">1</w:t>
      </w:r>
      <w:r>
        <w:t xml:space="preserve"> </w:t>
      </w:r>
      <w:r>
        <w:t xml:space="preserve">Tahiya Chowdhury,</w:t>
      </w:r>
      <w:r>
        <w:rPr>
          <w:vertAlign w:val="superscript"/>
        </w:rPr>
        <w:t xml:space="preserve">2</w:t>
      </w:r>
      <w:r>
        <w:t xml:space="preserve"> </w:t>
      </w:r>
      <w:r>
        <w:t xml:space="preserve">and Md Shafayat</w:t>
      </w:r>
      <w:r>
        <w:t xml:space="preserve"> </w:t>
      </w:r>
      <w:r>
        <w:t xml:space="preserve">Hossain</w:t>
      </w:r>
      <w:r>
        <w:rPr>
          <w:vertAlign w:val="superscript"/>
        </w:rPr>
        <w:t xml:space="preserve">3,4,5,*</w:t>
      </w:r>
    </w:p>
    <w:p>
      <w:pPr>
        <w:pStyle w:val="BodyText"/>
      </w:pPr>
      <w:r>
        <w:rPr>
          <w:vertAlign w:val="superscript"/>
          <w:iCs/>
          <w:i/>
        </w:rPr>
        <w:t xml:space="preserve">1</w:t>
      </w:r>
      <w:r>
        <w:rPr>
          <w:iCs/>
          <w:i/>
        </w:rPr>
        <w:t xml:space="preserve">Department of Physics, University of California, Los Angeles,</w:t>
      </w:r>
      <w:r>
        <w:rPr>
          <w:iCs/>
          <w:i/>
        </w:rPr>
        <w:t xml:space="preserve"> </w:t>
      </w:r>
      <w:r>
        <w:rPr>
          <w:iCs/>
          <w:i/>
        </w:rPr>
        <w:t xml:space="preserve">California 90095, USA</w:t>
      </w:r>
    </w:p>
    <w:p>
      <w:pPr>
        <w:pStyle w:val="BodyText"/>
      </w:pPr>
      <w:r>
        <w:rPr>
          <w:vertAlign w:val="superscript"/>
          <w:iCs/>
          <w:i/>
        </w:rPr>
        <w:t xml:space="preserve">2</w:t>
      </w:r>
      <w:r>
        <w:rPr>
          <w:iCs/>
          <w:i/>
        </w:rPr>
        <w:t xml:space="preserve">Department of Computer Science, Colby College, Waterville, Maine</w:t>
      </w:r>
      <w:r>
        <w:rPr>
          <w:iCs/>
          <w:i/>
        </w:rPr>
        <w:t xml:space="preserve"> </w:t>
      </w:r>
      <w:r>
        <w:rPr>
          <w:iCs/>
          <w:i/>
        </w:rPr>
        <w:t xml:space="preserve">04901, USA</w:t>
      </w:r>
    </w:p>
    <w:p>
      <w:pPr>
        <w:pStyle w:val="BodyText"/>
      </w:pPr>
      <w:r>
        <w:rPr>
          <w:vertAlign w:val="superscript"/>
          <w:iCs/>
          <w:i/>
        </w:rPr>
        <w:t xml:space="preserve">3</w:t>
      </w:r>
      <w:r>
        <w:rPr>
          <w:iCs/>
          <w:i/>
        </w:rPr>
        <w:t xml:space="preserve">Department of Materials Science and Engineering, University of</w:t>
      </w:r>
      <w:r>
        <w:rPr>
          <w:iCs/>
          <w:i/>
        </w:rPr>
        <w:t xml:space="preserve"> </w:t>
      </w:r>
      <w:r>
        <w:rPr>
          <w:iCs/>
          <w:i/>
        </w:rPr>
        <w:t xml:space="preserve">California, Los Angeles, California 90095, USA</w:t>
      </w:r>
    </w:p>
    <w:p>
      <w:pPr>
        <w:pStyle w:val="BodyText"/>
      </w:pPr>
      <w:r>
        <w:rPr>
          <w:vertAlign w:val="superscript"/>
          <w:iCs/>
          <w:i/>
        </w:rPr>
        <w:t xml:space="preserve">4</w:t>
      </w:r>
      <w:r>
        <w:rPr>
          <w:iCs/>
          <w:i/>
        </w:rPr>
        <w:t xml:space="preserve">California NanoSystems Institute, University of California, Los</w:t>
      </w:r>
      <w:r>
        <w:rPr>
          <w:iCs/>
          <w:i/>
        </w:rPr>
        <w:t xml:space="preserve"> </w:t>
      </w:r>
      <w:r>
        <w:rPr>
          <w:iCs/>
          <w:i/>
        </w:rPr>
        <w:t xml:space="preserve">Angeles, California 90095, USA</w:t>
      </w:r>
    </w:p>
    <w:p>
      <w:pPr>
        <w:pStyle w:val="BodyText"/>
      </w:pPr>
      <w:r>
        <w:rPr>
          <w:vertAlign w:val="superscript"/>
          <w:iCs/>
          <w:i/>
        </w:rPr>
        <w:t xml:space="preserve">5</w:t>
      </w:r>
      <w:r>
        <w:rPr>
          <w:iCs/>
          <w:i/>
        </w:rPr>
        <w:t xml:space="preserve">Center for Quantum Science and Engineering, University of</w:t>
      </w:r>
      <w:r>
        <w:rPr>
          <w:iCs/>
          <w:i/>
        </w:rPr>
        <w:t xml:space="preserve"> </w:t>
      </w:r>
      <w:r>
        <w:rPr>
          <w:iCs/>
          <w:i/>
        </w:rPr>
        <w:t xml:space="preserve">California, Los Angeles, California 90095, USA</w:t>
      </w:r>
    </w:p>
    <w:p>
      <w:pPr>
        <w:pStyle w:val="BodyText"/>
      </w:pPr>
      <w:r>
        <w:t xml:space="preserve">*Contact author: shossain@seas.ucla.edu</w:t>
      </w:r>
    </w:p>
    <w:p>
      <w:pPr>
        <w:pStyle w:val="BodyText"/>
      </w:pPr>
      <w:r>
        <w:rPr>
          <w:bCs/>
          <w:b/>
        </w:rPr>
        <w:t xml:space="preserve">1. Stage 1 cohort composition and cuprate-saturation diagnosis</w:t>
      </w:r>
    </w:p>
    <w:p>
      <w:pPr>
        <w:pStyle w:val="BodyText"/>
      </w:pPr>
      <w:r>
        <w:t xml:space="preserve">The Stage 1 monolithic-regression analysis is evaluated on the populated</w:t>
      </w:r>
      <w:r>
        <w:t xml:space="preserve"> </w:t>
      </w:r>
      <w:r>
        <w:t xml:space="preserve">substructure cohort. The cohort includes iron chalcogenide 11-type, iron</w:t>
      </w:r>
      <w:r>
        <w:t xml:space="preserve"> </w:t>
      </w:r>
      <w:r>
        <w:t xml:space="preserve">pnictide 122-type, iron pnictide 1111-type, MgB</w:t>
      </w:r>
      <w:r>
        <w:rPr>
          <w:vertAlign w:val="subscript"/>
        </w:rPr>
        <w:t xml:space="preserve">2</w:t>
      </w:r>
      <w:r>
        <w:t xml:space="preserve">-class, and the</w:t>
      </w:r>
      <w:r>
        <w:t xml:space="preserve"> </w:t>
      </w:r>
      <w:r>
        <w:t xml:space="preserve">cuprate substructures used in the leave-one-substructure-out test. Substructure</w:t>
      </w:r>
      <w:r>
        <w:t xml:space="preserve"> </w:t>
      </w:r>
      <w:r>
        <w:t>cohort sizes range from one to ten distinct compounds, as Table S1 records, and the cuprate substructures contribute 5 distinct compounds to the fitted cohort</w:t>
      </w:r>
      <w:r/>
      <w:r>
        <w:t>, none of which meets</w:t>
      </w:r>
      <w:r>
        <w:t xml:space="preserve"> </w:t>
      </w:r>
      <w:r>
        <w:t xml:space="preserve">the two-axis fully fittable criterion (Table S1).</w:t>
      </w:r>
    </w:p>
    <w:p>
      <w:pPr>
        <w:pStyle w:val="BodyText"/>
      </w:pPr>
      <w:r>
        <w:t xml:space="preserve">Errors in a fitted exponent are dimensionless, since β is a power; only errors in log</w:t>
      </w:r>
      <w:r>
        <w:rPr>
          <w:vertAlign w:val="subscript"/>
        </w:rPr>
        <w:t xml:space="preserve">10</w:t>
      </w:r>
      <w:r>
        <w:t xml:space="preserve"> </w:t>
      </w:r>
      <w:r>
        <w:t xml:space="preserve">J</w:t>
      </w:r>
      <w:r>
        <w:rPr>
          <w:vertAlign w:val="subscript"/>
        </w:rPr>
        <w:t xml:space="preserve">c</w:t>
      </w:r>
      <w:r>
        <w:t xml:space="preserve"> </w:t>
      </w:r>
      <w:r>
        <w:t xml:space="preserve">are quoted in dex. The large Stage 1 error in β</w:t>
      </w:r>
      <w:r>
        <w:rPr>
          <w:vertAlign w:val="subscript"/>
        </w:rPr>
        <w:t xml:space="preserve">H</w:t>
      </w:r>
      <w:r>
        <w:t xml:space="preserve"> </w:t>
      </w:r>
      <w:r>
        <w:t xml:space="preserve">is traced mainly to cuprate</w:t>
      </w:r>
      <w:r>
        <w:t xml:space="preserve"> </w:t>
      </w:r>
      <w:r>
        <w:t>measurement-window saturation. The cuprate substructures account for 59% of the residual mass but represent only 43% of the substructure cohort. RBCO (REBa2Cu3O7, rare-earth–barium–copper–oxide) sits at the imposed regression ceiling of β = 30 on all 3 of its fits and BSCCO (Bi–Sr–Ca–Cu–O) on all 20 of its fits, while LSCO (La2−xSrxCuO4, lanthanum–strontium–copper–oxide) is physical. The ceiling is not confined to the cuprates: 4 of 51 iron chalcogenide 11-type fits and 1 of 22 iron pnictide 1111-type fits also reach it.</w:t>
      </w:r>
      <w:r/>
      <w:r/>
      <w:r/>
      <w:r/>
      <w:r/>
      <w:r/>
      <w:r>
        <w:rPr>
          <w:vertAlign w:val="subscript"/>
        </w:rPr>
      </w:r>
      <w:r/>
      <w:r>
        <w:rPr>
          <w:vertAlign w:val="subscript"/>
        </w:rPr>
      </w:r>
      <w:r/>
      <w:r>
        <w:rPr>
          <w:vertAlign w:val="subscript"/>
        </w:rPr>
      </w:r>
      <w:r/>
      <w:r/>
      <w:r/>
      <w:r/>
      <w:r/>
      <w:r>
        <w:rPr>
          <w:vertAlign w:val="subscript"/>
        </w:rPr>
      </w:r>
      <w:r/>
      <w:r>
        <w:rPr>
          <w:vertAlign w:val="subscript"/>
        </w:rPr>
      </w:r>
      <w:r/>
      <w:r>
        <w:rPr>
          <w:vertAlign w:val="subscript"/>
        </w:rPr>
      </w:r>
      <w:r/>
      <w:r/>
      <w:r>
        <w:t xml:space="preserve"> This ceiling prevents unbounded growth of</w:t>
      </w:r>
      <w:r>
        <w:t xml:space="preserve"> </w:t>
      </w:r>
      <w:r>
        <w:t xml:space="preserve">parameters when the reported J</w:t>
      </w:r>
      <w:r>
        <w:rPr>
          <w:vertAlign w:val="subscript"/>
        </w:rPr>
        <w:t xml:space="preserve">c</w:t>
      </w:r>
      <w:r>
        <w:t xml:space="preserve"> </w:t>
      </w:r>
      <w:r>
        <w:t xml:space="preserve">(H) curves saturate far below H</w:t>
      </w:r>
      <w:r>
        <w:rPr>
          <w:vertAlign w:val="subscript"/>
        </w:rPr>
        <w:t xml:space="preserve">c2</w:t>
      </w:r>
      <w:r>
        <w:t xml:space="preserve">.</w:t>
      </w:r>
      <w:r>
        <w:t xml:space="preserve"> </w:t>
      </w:r>
      <w:r>
        <w:t xml:space="preserve">The effect reflects the field window of the published measurements. When</w:t>
      </w:r>
      <w:r>
        <w:t xml:space="preserve"> </w:t>
      </w:r>
      <w:r>
        <w:t xml:space="preserve">H</w:t>
      </w:r>
      <w:r>
        <w:rPr>
          <w:vertAlign w:val="subscript"/>
        </w:rPr>
        <w:t xml:space="preserve">max</w:t>
      </w:r>
      <w:r>
        <w:t xml:space="preserve"> </w:t>
      </w:r>
      <w:r>
        <w:t xml:space="preserve">remains below approximately 0.3 H</w:t>
      </w:r>
      <w:r>
        <w:rPr>
          <w:vertAlign w:val="subscript"/>
        </w:rPr>
        <w:t xml:space="preserve">c2</w:t>
      </w:r>
      <w:r>
        <w:t xml:space="preserve">, the term 1 − H/H</w:t>
      </w:r>
      <w:r>
        <w:rPr>
          <w:vertAlign w:val="subscript"/>
        </w:rPr>
        <w:t xml:space="preserve">c2</w:t>
      </w:r>
      <w:r>
        <w:t xml:space="preserve"> </w:t>
      </w:r>
      <w:r>
        <w:t xml:space="preserve">has</w:t>
      </w:r>
      <w:r>
        <w:t xml:space="preserve"> </w:t>
      </w:r>
      <w:r>
        <w:t xml:space="preserve">limited dynamic range, so the fitted exponent reaches the ceiling. This</w:t>
      </w:r>
      <w:r>
        <w:t xml:space="preserve"> </w:t>
      </w:r>
      <w:r>
        <w:t xml:space="preserve">behavior defines an applicability limit for Stage 1 magnitude</w:t>
      </w:r>
      <w:r>
        <w:t xml:space="preserve"> </w:t>
      </w:r>
      <w:r>
        <w:t>prediction, rather than a failure of the rank signal. The rank-position mean absolute error remains 1.00, with 6 of 7 substructures predicted within one rank position.</w:t>
      </w:r>
      <w:r/>
      <w:r/>
      <w:r/>
      <w:r>
        <w:t xml:space="preserve"> Stage 1 is therefore retained as a</w:t>
      </w:r>
      <w:r>
        <w:t xml:space="preserve"> </w:t>
      </w:r>
      <w:r>
        <w:t xml:space="preserve">substructure-level rank- and classification-component, while later</w:t>
      </w:r>
      <w:r>
        <w:t xml:space="preserve"> </w:t>
      </w:r>
      <w:r>
        <w:t xml:space="preserve">stages correct the magnitude bias through sample-form and</w:t>
      </w:r>
      <w:r>
        <w:t xml:space="preserve"> </w:t>
      </w:r>
      <w:r>
        <w:t xml:space="preserve">substructure-conditioned aggregation.</w:t>
      </w:r>
    </w:p>
    <w:p>
      <w:pPr>
        <w:pStyle w:val="BodyText"/>
      </w:pPr>
      <w:r>
        <w:rPr>
          <w:bCs/>
          <w:b/>
        </w:rPr>
        <w:t xml:space="preserve">2. Per-curve metadata schema</w:t>
      </w:r>
    </w:p>
    <w:p>
      <w:pPr>
        <w:pStyle w:val="BodyText"/>
      </w:pPr>
      <w:r>
        <w:t xml:space="preserve">The extraction schema records sample form, sample identity, fixed-axis</w:t>
      </w:r>
      <w:r>
        <w:t xml:space="preserve"> </w:t>
      </w:r>
      <w:r>
        <w:t xml:space="preserve">value, and source-attributed compositional or processing variables for</w:t>
      </w:r>
      <w:r>
        <w:t xml:space="preserve"> </w:t>
      </w:r>
      <w:r>
        <w:t xml:space="preserve">each measured J</w:t>
      </w:r>
      <w:r>
        <w:rPr>
          <w:vertAlign w:val="subscript"/>
        </w:rPr>
        <w:t xml:space="preserve">c</w:t>
      </w:r>
      <w:r>
        <w:t xml:space="preserve"> </w:t>
      </w:r>
      <w:r>
        <w:t xml:space="preserve">curve. Sample form is assigned to one of six</w:t>
      </w:r>
      <w:r>
        <w:t xml:space="preserve"> </w:t>
      </w:r>
      <w:r>
        <w:t xml:space="preserve">categories: single crystal, polycrystal, thin film, wire, tape, or bulk.</w:t>
      </w:r>
      <w:r>
        <w:t xml:space="preserve"> </w:t>
      </w:r>
      <w:r>
        <w:t xml:space="preserve">Labels given by the source paper are used whenever available. When the</w:t>
      </w:r>
      <w:r>
        <w:t xml:space="preserve"> </w:t>
      </w:r>
      <w:r>
        <w:t xml:space="preserve">label is ambiguous, the extraction pass checks the figure caption,</w:t>
      </w:r>
      <w:r>
        <w:t xml:space="preserve"> </w:t>
      </w:r>
      <w:r>
        <w:t xml:space="preserve">legend, and surrounding text. Sample identifiers are preserved as</w:t>
      </w:r>
      <w:r>
        <w:t xml:space="preserve"> </w:t>
      </w:r>
      <w:r>
        <w:t xml:space="preserve">written in the source paper. Normalization is applied only when the same</w:t>
      </w:r>
      <w:r>
        <w:t xml:space="preserve"> </w:t>
      </w:r>
      <w:r>
        <w:t xml:space="preserve">physical sample is labeled inconsistently within a single paper.</w:t>
      </w:r>
    </w:p>
    <w:p>
      <w:pPr>
        <w:pStyle w:val="BodyText"/>
      </w:pPr>
      <w:r>
        <w:t xml:space="preserve">Each extracted curve is tied to a fixed value of the other measurement</w:t>
      </w:r>
      <w:r>
        <w:t xml:space="preserve"> </w:t>
      </w:r>
      <w:r>
        <w:t xml:space="preserve">axis. For J</w:t>
      </w:r>
      <w:r>
        <w:rPr>
          <w:vertAlign w:val="subscript"/>
        </w:rPr>
        <w:t xml:space="preserve">c</w:t>
      </w:r>
      <w:r>
        <w:t xml:space="preserve"> </w:t>
      </w:r>
      <w:r>
        <w:t xml:space="preserve">(T) curves, the fixed applied field is recorded. For J</w:t>
      </w:r>
      <w:r>
        <w:rPr>
          <w:vertAlign w:val="subscript"/>
        </w:rPr>
        <w:t xml:space="preserve">c</w:t>
      </w:r>
      <w:r>
        <w:t xml:space="preserve"> </w:t>
      </w:r>
      <w:r>
        <w:t xml:space="preserve">(H) curves, the fixed temperature is recorded. The fixed value is read</w:t>
      </w:r>
      <w:r>
        <w:t xml:space="preserve"> </w:t>
      </w:r>
      <w:r>
        <w:t xml:space="preserve">first from the curve label, then from the legend, and then from the</w:t>
      </w:r>
      <w:r>
        <w:t xml:space="preserve"> </w:t>
      </w:r>
      <w:r>
        <w:t xml:space="preserve">caption. Curves are excluded when the fixed-axis value cannot be</w:t>
      </w:r>
      <w:r>
        <w:t xml:space="preserve"> </w:t>
      </w:r>
      <w:r>
        <w:t xml:space="preserve">resolved uniquely. Doping, substitution, annealing, and processing</w:t>
      </w:r>
      <w:r>
        <w:t xml:space="preserve"> </w:t>
      </w:r>
      <w:r>
        <w:t xml:space="preserve">variables are stored when the source paper assigns them to the measured</w:t>
      </w:r>
      <w:r>
        <w:t xml:space="preserve"> </w:t>
      </w:r>
      <w:r>
        <w:t xml:space="preserve">curve. This schema ensures that fitted exponents are associated with a</w:t>
      </w:r>
      <w:r>
        <w:t xml:space="preserve"> </w:t>
      </w:r>
      <w:r>
        <w:t xml:space="preserve">single physical sample under a single measurement condition, rather than</w:t>
      </w:r>
      <w:r>
        <w:t xml:space="preserve"> </w:t>
      </w:r>
      <w:r>
        <w:t xml:space="preserve">with an averaged compound label. Section 15 reproduces rows from the deposited</w:t>
      </w:r>
      <w:r>
        <w:t xml:space="preserve"> </w:t>
      </w:r>
      <w:r>
        <w:t xml:space="preserve">files so that this schema can be read against the data it produced.</w:t>
      </w:r>
    </w:p>
    <w:p>
      <w:pPr>
        <w:pStyle w:val="BodyText"/>
      </w:pPr>
      <w:r>
        <w:rPr>
          <w:bCs/>
          <w:b/>
        </w:rPr>
        <w:t xml:space="preserve">3. Substructure classification rules</w:t>
      </w:r>
    </w:p>
    <w:p>
      <w:pPr>
        <w:pStyle w:val="BodyText"/>
      </w:pPr>
      <w:r>
        <w:t xml:space="preserve">Substructure family assignment follows stoichiometry and crystal-system</w:t>
      </w:r>
      <w:r>
        <w:t xml:space="preserve"> </w:t>
      </w:r>
      <w:r>
        <w:t xml:space="preserve">rules. Representative space group assignments include P4/nmm for 11-type</w:t>
      </w:r>
      <w:r>
        <w:t xml:space="preserve"> </w:t>
      </w:r>
      <w:r>
        <w:t xml:space="preserve">iron chalcogenides, I4/mmm for 122-type iron pnictides, and P6/mmm for</w:t>
      </w:r>
      <w:r>
        <w:t xml:space="preserve"> </w:t>
      </w:r>
      <w:r>
        <w:t xml:space="preserve">MgB</w:t>
      </w:r>
      <w:r>
        <w:rPr>
          <w:vertAlign w:val="subscript"/>
        </w:rPr>
        <w:t xml:space="preserve">2</w:t>
      </w:r>
      <w:r>
        <w:t xml:space="preserve">-class materials. Family membership is checked against Materials</w:t>
      </w:r>
      <w:r>
        <w:t xml:space="preserve"> </w:t>
      </w:r>
      <w:r>
        <w:t xml:space="preserve">Project space-group and lattice-parameter records and resolved by the</w:t>
      </w:r>
      <w:r>
        <w:t xml:space="preserve"> </w:t>
      </w:r>
      <w:r>
        <w:t xml:space="preserve">dominant superconducting mechanism in the literature for each crystal</w:t>
      </w:r>
      <w:r>
        <w:t xml:space="preserve"> </w:t>
      </w:r>
      <w:r>
        <w:t xml:space="preserve">class. Compounds whose family membership is ambiguous or disputed are</w:t>
      </w:r>
      <w:r>
        <w:t xml:space="preserve"> </w:t>
      </w:r>
      <w:r>
        <w:t xml:space="preserve">excluded from substructure-aggregate prediction. For example,</w:t>
      </w:r>
      <w:r>
        <w:t xml:space="preserve"> </w:t>
      </w:r>
      <w:r>
        <w:t xml:space="preserve">Sr</w:t>
      </w:r>
      <w:r>
        <w:rPr>
          <w:vertAlign w:val="subscript"/>
        </w:rPr>
        <w:t xml:space="preserve">2</w:t>
      </w:r>
      <w:r>
        <w:t xml:space="preserve">RuO</w:t>
      </w:r>
      <w:r>
        <w:rPr>
          <w:vertAlign w:val="subscript"/>
        </w:rPr>
        <w:t xml:space="preserve">4</w:t>
      </w:r>
      <w:r>
        <w:t xml:space="preserve">, whose layered K</w:t>
      </w:r>
      <w:r>
        <w:rPr>
          <w:vertAlign w:val="subscript"/>
        </w:rPr>
        <w:t xml:space="preserve">2</w:t>
      </w:r>
      <w:r>
        <w:t xml:space="preserve">NiF</w:t>
      </w:r>
      <w:r>
        <w:rPr>
          <w:vertAlign w:val="subscript"/>
        </w:rPr>
        <w:t xml:space="preserve">4</w:t>
      </w:r>
      <w:r>
        <w:t xml:space="preserve">-type perovskite structure is</w:t>
      </w:r>
      <w:r>
        <w:t xml:space="preserve"> </w:t>
      </w:r>
      <w:r>
        <w:t xml:space="preserve">isostructural with the cuprate parent La</w:t>
      </w:r>
      <w:r>
        <w:rPr>
          <w:vertAlign w:val="subscript"/>
        </w:rPr>
        <w:t xml:space="preserve">2</w:t>
      </w:r>
      <w:r>
        <w:t xml:space="preserve">CuO</w:t>
      </w:r>
      <w:r>
        <w:rPr>
          <w:vertAlign w:val="subscript"/>
        </w:rPr>
        <w:t xml:space="preserve">4</w:t>
      </w:r>
      <w:r>
        <w:t xml:space="preserve"> </w:t>
      </w:r>
      <w:r>
        <w:t xml:space="preserve">but whose contested</w:t>
      </w:r>
      <w:r>
        <w:t xml:space="preserve"> </w:t>
      </w:r>
      <w:r>
        <w:t xml:space="preserve">triplet-pairing mechanism places it outside the cuprate</w:t>
      </w:r>
      <w:r>
        <w:t xml:space="preserve"> </w:t>
      </w:r>
      <w:r>
        <w:rPr>
          <w:iCs/>
          <w:i/>
        </w:rPr>
        <w:t xml:space="preserve">d</w:t>
      </w:r>
      <w:r>
        <w:t xml:space="preserve">-wave Cooper</w:t>
      </w:r>
      <w:r>
        <w:t xml:space="preserve"> </w:t>
      </w:r>
      <w:r>
        <w:t xml:space="preserve">pairing symmetry substructure family, surfaced in the corpus extraction</w:t>
      </w:r>
      <w:r>
        <w:t xml:space="preserve"> </w:t>
      </w:r>
      <w:r>
        <w:t xml:space="preserve">pass and was routed to</w:t>
      </w:r>
      <w:r>
        <w:t xml:space="preserve"> </w:t>
      </w:r>
      <w:r>
        <w:rPr>
          <w:iCs/>
          <w:i/>
        </w:rPr>
        <w:t xml:space="preserve">other_unclassified</w:t>
      </w:r>
      <w:r>
        <w:t xml:space="preserve"> </w:t>
      </w:r>
      <w:r>
        <w:t xml:space="preserve">by the substructure</w:t>
      </w:r>
      <w:r>
        <w:t xml:space="preserve"> </w:t>
      </w:r>
      <w:r>
        <w:t xml:space="preserve">classifier rather than admitted to any substructure-aggregate cohort.</w:t>
      </w:r>
    </w:p>
    <w:p>
      <w:pPr>
        <w:pStyle w:val="BodyText"/>
      </w:pPr>
      <w:r>
        <w:rPr>
          <w:bCs/>
          <w:b/>
        </w:rPr>
        <w:t xml:space="preserve">4. K-anchor sensitivity test on out-of-corpus cuprates</w:t>
      </w:r>
    </w:p>
    <w:p>
      <w:pPr>
        <w:pStyle w:val="BodyText"/>
      </w:pPr>
      <w:r>
        <w:t xml:space="preserve">The compound-level errors show the same pattern of single-anchor</w:t>
      </w:r>
      <w:r>
        <w:t xml:space="preserve"> </w:t>
      </w:r>
      <w:r>
        <w:t xml:space="preserve">underperformance relative to the transition-temperature-only baseline.</w:t>
      </w:r>
      <w:r>
        <w:t xml:space="preserve"> </w:t>
      </w:r>
      <w:r>
        <w:t xml:space="preserve">Tl-1223_pure (the undoped Tl–Ba–Ca–Cu–O 1-2-2-3 phase,</w:t>
      </w:r>
      <w:r>
        <w:t xml:space="preserve"> </w:t>
      </w:r>
      <w:r>
        <w:t xml:space="preserve">TlBa</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y</w:t>
      </w:r>
      <w:r>
        <w:t xml:space="preserve">) gives 2.567 for the K = 1 predictor compared with 1.613 for the transition-temperature-only baseline. These are errors in log10 Jc, in dex, not dimensionless exponent errors: the quantity computed by analysis/external_anchor_count.py is the absolute difference of predicted and measured log10 Jc. An earlier version of this section labelled them the other way.</w:t>
      </w:r>
      <w:r>
        <w:t xml:space="preserve"/>
      </w:r>
      <w:r>
        <w:t xml:space="preserve"/>
      </w:r>
      <w:r>
        <w:t xml:space="preserve"/>
      </w:r>
      <w:r>
        <w:t xml:space="preserve"/>
      </w:r>
      <w:r>
        <w:t xml:space="preserve"> </w:t>
      </w:r>
      <w:r>
        <w:t xml:space="preserve">Tl-1223_BiSr (the Bi- and Sr-substituted variant of the same parent)</w:t>
      </w:r>
      <w:r>
        <w:t xml:space="preserve"> </w:t>
      </w:r>
      <w:r>
        <w:t xml:space="preserve">gives 1.159 compared with 0.863. PCCO_x015 (electron-doped</w:t>
      </w:r>
      <w:r>
        <w:t xml:space="preserve"> </w:t>
      </w:r>
      <w:r>
        <w:t xml:space="preserve">Pr</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1.215 compared with 1.027.</w:t>
      </w:r>
      <w:r>
        <w:t xml:space="preserve"> </w:t>
      </w:r>
      <w:r>
        <w:t xml:space="preserve">NCCO_x015 (electron-doped Nd</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1.426</w:t>
      </w:r>
      <w:r>
        <w:t xml:space="preserve"> </w:t>
      </w:r>
      <w:r>
        <w:t xml:space="preserve">compared with 1.160. Tl-1223_pure is the most significant</w:t>
      </w:r>
      <w:r>
        <w:t xml:space="preserve"> </w:t>
      </w:r>
      <w:r>
        <w:t xml:space="preserve">failure case, with Spearman correlation coefficient (ρ) of −0.638,</w:t>
      </w:r>
      <w:r>
        <w:t xml:space="preserve"> </w:t>
      </w:r>
      <w:r>
        <w:t xml:space="preserve">indicating anti-ranking under the single-anchor protocol.</w:t>
      </w:r>
    </w:p>
    <w:p>
      <w:pPr>
        <w:pStyle w:val="BodyText"/>
      </w:pPr>
      <w:r>
        <w:t xml:space="preserve">The K = 3 recovery test excludes Tl-1223_pure because its J</w:t>
      </w:r>
      <w:r>
        <w:rPr>
          <w:vertAlign w:val="subscript"/>
        </w:rPr>
        <w:t xml:space="preserve">c</w:t>
      </w:r>
      <w:r>
        <w:t xml:space="preserve">(T) curve</w:t>
      </w:r>
      <w:r>
        <w:t xml:space="preserve"> </w:t>
      </w:r>
      <w:r>
        <w:t xml:space="preserve">is non-monotonic and therefore fails the monotonicity gate. On the three</w:t>
      </w:r>
      <w:r>
        <w:t xml:space="preserve"> </w:t>
      </w:r>
      <w:r>
        <w:t>remaining monotonic cuprates, the pooled error falls to 0.927. Against the four-compound K = 1 value of 1.592 the four-compound K = 3 value of 0.927 is a 41.8% reduction; the matched three give 45.2%, from 1.267 to 0.694. On the matched three the K = 1 error is 1.267, the K = 3 error is 0.694, and the reduction is 45.2%, which is the figure the main text carries. The rank metrics</w:t>
      </w:r>
      <w:r>
        <w:t xml:space="preserve"> </w:t>
      </w:r>
      <w:r>
        <w:t xml:space="preserve">also recover: Spearman ρ reaches +1.000, and precision at three reaches 1.000 for every regime in which the three-anchor comparison is well</w:t>
      </w:r>
      <w:r>
        <w:t xml:space="preserve"> </w:t>
      </w:r>
      <w:r>
        <w:t xml:space="preserve">defined. These results define</w:t>
      </w:r>
      <w:r>
        <w:t xml:space="preserve"> </w:t>
      </w:r>
      <w:r>
        <w:t xml:space="preserve">the K ≥ 3 anchor requirement used in the main text. It is an empirical</w:t>
      </w:r>
      <w:r>
        <w:t xml:space="preserve"> </w:t>
      </w:r>
      <w:r>
        <w:t xml:space="preserve">boundary for external-corpus prediction, not a tunable preference.</w:t>
      </w:r>
    </w:p>
    <w:p>
      <w:pPr>
        <w:pStyle w:val="BodyText"/>
      </w:pPr>
      <w:r>
        <w:rPr>
          <w:bCs/>
          <w:b/>
        </w:rPr>
        <w:t xml:space="preserve">5. Iron pnictide 1111-type dual-scope result</w:t>
      </w:r>
    </w:p>
    <w:p>
      <w:pPr>
        <w:pStyle w:val="BodyText"/>
      </w:pPr>
      <w:r>
        <w:t xml:space="preserve">The iron pnictide 1111-type family illustrates the concept of</w:t>
      </w:r>
      <w:r>
        <w:t xml:space="preserve"> </w:t>
      </w:r>
      <w:r>
        <w:t xml:space="preserve">scope-dependent validity. At the aggregate substructure level, this</w:t>
      </w:r>
      <w:r>
        <w:t xml:space="preserve"> </w:t>
      </w:r>
      <w:r>
        <w:t>family does not meet the candidate-prediction criterion, showing a compound leave-one-out mean absolute error of 2.571 in βH at the cohort scope of the main-text Stage 2 table</w:t>
      </w:r>
      <w:r/>
      <w:r/>
      <w:r>
        <w:rPr>
          <w:vertAlign w:val="subscript"/>
        </w:rPr>
      </w:r>
      <w:r/>
      <w:r/>
      <w:r/>
      <w:r/>
      <w:r/>
      <w:r>
        <w:t>. This</w:t>
      </w:r>
      <w:r>
        <w:t xml:space="preserve"> </w:t>
      </w:r>
      <w:r>
        <w:t xml:space="preserve">result justifies its hard exclusion from candidate screening at that</w:t>
      </w:r>
      <w:r>
        <w:t xml:space="preserve"> </w:t>
      </w:r>
      <w:r>
        <w:t xml:space="preserve">scope. The failure does not mean that the Form 3 expression is</w:t>
      </w:r>
      <w:r>
        <w:t xml:space="preserve"> </w:t>
      </w:r>
      <w:r>
        <w:t xml:space="preserve">unsuitable for all 1111-type compounds. At per-compound parametric</w:t>
      </w:r>
      <w:r>
        <w:t xml:space="preserve"> </w:t>
      </w:r>
      <w:r>
        <w:t xml:space="preserve">scope, LaFeAsO gives a β</w:t>
      </w:r>
      <w:r>
        <w:rPr>
          <w:vertAlign w:val="subscript"/>
        </w:rPr>
        <w:t xml:space="preserve">H</w:t>
      </w:r>
      <w:r>
        <w:t xml:space="preserve"> </w:t>
      </w:r>
      <w:r>
        <w:t xml:space="preserve">holdout error of only 0.022. Its data</w:t>
      </w:r>
      <w:r>
        <w:t xml:space="preserve"> </w:t>
      </w:r>
      <w:r>
        <w:t xml:space="preserve">contain enough points and sufficient axis coverage, and the fitted β</w:t>
      </w:r>
      <w:r>
        <w:rPr>
          <w:vertAlign w:val="subscript"/>
        </w:rPr>
        <w:t xml:space="preserve">T</w:t>
      </w:r>
      <w:r>
        <w:t xml:space="preserve"> </w:t>
      </w:r>
      <w:r>
        <w:t xml:space="preserve">and β</w:t>
      </w:r>
      <w:r>
        <w:rPr>
          <w:vertAlign w:val="subscript"/>
        </w:rPr>
        <w:t xml:space="preserve">H</w:t>
      </w:r>
      <w:r>
        <w:t xml:space="preserve"> </w:t>
      </w:r>
      <w:r>
        <w:t xml:space="preserve">values remain physically reasonable. The failure appears when</w:t>
      </w:r>
      <w:r>
        <w:t xml:space="preserve"> </w:t>
      </w:r>
      <w:r>
        <w:t xml:space="preserve">the model is asked to transfer a single substructure-level central</w:t>
      </w:r>
      <w:r>
        <w:t xml:space="preserve"> </w:t>
      </w:r>
      <w:r>
        <w:t xml:space="preserve">tendency from one 1111-type compound to another. The 1111-type result</w:t>
      </w:r>
      <w:r>
        <w:t xml:space="preserve"> </w:t>
      </w:r>
      <w:r>
        <w:t xml:space="preserve">therefore separates two tasks that must not be conflated: fitting a</w:t>
      </w:r>
      <w:r>
        <w:t xml:space="preserve"> </w:t>
      </w:r>
      <w:r>
        <w:t xml:space="preserve">measured compound and predicting a new compound from family-level</w:t>
      </w:r>
      <w:r>
        <w:t xml:space="preserve"> </w:t>
      </w:r>
      <w:r>
        <w:t xml:space="preserve">aggregation.</w:t>
      </w:r>
    </w:p>
    <w:p>
      <w:pPr>
        <w:pStyle w:val="BodyText"/>
      </w:pPr>
      <w:r>
        <w:rPr>
          <w:bCs/>
          <w:b/>
        </w:rPr>
        <w:t xml:space="preserve">6. In-corpus LOCO ranking by anchor regime</w:t>
      </w:r>
    </w:p>
    <w:p>
      <w:pPr>
        <w:pStyle w:val="BodyText"/>
      </w:pPr>
      <w:r>
        <w:t xml:space="preserve">The in-corpus leave-one-compound-out ranking test evaluates how the</w:t>
      </w:r>
      <w:r>
        <w:t xml:space="preserve"> </w:t>
      </w:r>
      <w:r>
        <w:t xml:space="preserve">predictor performs across different anchor-selection regimes within the</w:t>
      </w:r>
      <w:r>
        <w:t xml:space="preserve"> </w:t>
      </w:r>
      <w:r>
        <w:t xml:space="preserve">fittable cohort. The regimes correspond to distinct reference points or</w:t>
      </w:r>
      <w:r>
        <w:t xml:space="preserve"> </w:t>
      </w:r>
      <w:r>
        <w:t xml:space="preserve">anchor protocols: R1 uses 4.2 K and 0 T, R2 uses 4.2 K and 1 T, R3 uses</w:t>
      </w:r>
      <w:r>
        <w:t xml:space="preserve"> </w:t>
      </w:r>
      <w:r>
        <w:t xml:space="preserve">4.2 K and 5 T, R4 uses 20 K and 0 T, and R5 uses a cryocooler-equivalent</w:t>
      </w:r>
      <w:r>
        <w:t xml:space="preserve"> </w:t>
      </w:r>
      <w:r>
        <w:t xml:space="preserve">reference with a distinct anchor-selection protocol. The main text</w:t>
      </w:r>
      <w:r>
        <w:t xml:space="preserve"> </w:t>
      </w:r>
      <w:r>
        <w:t xml:space="preserve">reports the regimes for which the K = 3 comparison is well defined. The</w:t>
      </w:r>
      <w:r>
        <w:t xml:space="preserve"> </w:t>
      </w:r>
      <w:r>
        <w:t xml:space="preserve">Spearman correlations are +0.876 for R1, +0.749 for R2, +0.582 for R3,</w:t>
      </w:r>
      <w:r>
        <w:t xml:space="preserve"> </w:t>
      </w:r>
      <w:r>
        <w:t xml:space="preserve">and +0.964 for R5. Precision at three is 0.667 across all evaluated</w:t>
      </w:r>
      <w:r>
        <w:t xml:space="preserve"> </w:t>
      </w:r>
      <w:r>
        <w:t xml:space="preserve">regimes. The weaker R3 result is consistent with the greater field</w:t>
      </w:r>
      <w:r>
        <w:t xml:space="preserve"> </w:t>
      </w:r>
      <w:r>
        <w:t xml:space="preserve">dependence at 5 T, where differences in H</w:t>
      </w:r>
      <w:r>
        <w:rPr>
          <w:vertAlign w:val="subscript"/>
        </w:rPr>
        <w:t xml:space="preserve">c2</w:t>
      </w:r>
      <w:r>
        <w:t xml:space="preserve">, sample form, and pinning</w:t>
      </w:r>
      <w:r>
        <w:t xml:space="preserve"> </w:t>
      </w:r>
      <w:r>
        <w:t xml:space="preserve">response contribute more strongly to the predicted ordering.</w:t>
      </w:r>
    </w:p>
    <w:p>
      <w:pPr>
        <w:pStyle w:val="BodyText"/>
      </w:pPr>
      <w:r>
        <w:rPr>
          <w:bCs/>
          <w:b/>
        </w:rPr>
        <w:t xml:space="preserve">7. Family-conditional beta test</w:t>
      </w:r>
    </w:p>
    <w:p>
      <w:pPr>
        <w:pStyle w:val="BodyText"/>
      </w:pPr>
      <w:r>
        <w:t xml:space="preserve">We also examined whether a simpler family-conditional exponent model</w:t>
      </w:r>
      <w:r>
        <w:t xml:space="preserve"> </w:t>
      </w:r>
      <w:r>
        <w:t xml:space="preserve">could serve as an intermediate between a global model and the full</w:t>
      </w:r>
      <w:r>
        <w:t xml:space="preserve"> </w:t>
      </w:r>
      <w:r>
        <w:t xml:space="preserve">substructure- and sample-form-conditioned framework. Three aggregation</w:t>
      </w:r>
      <w:r>
        <w:t xml:space="preserve"> </w:t>
      </w:r>
      <w:r>
        <w:t xml:space="preserve">scopes were compared using a random 80/20 per-paper holdout on the</w:t>
      </w:r>
      <w:r>
        <w:t xml:space="preserve"> </w:t>
      </w:r>
      <w:r>
        <w:t xml:space="preserve">fittable cohort. A single global β yields a median holdout error of</w:t>
      </w:r>
      <w:r>
        <w:t xml:space="preserve"> </w:t>
      </w:r>
      <w:r>
        <w:t xml:space="preserve">0.613 dex in log J</w:t>
      </w:r>
      <w:r>
        <w:rPr>
          <w:vertAlign w:val="subscript"/>
        </w:rPr>
        <w:t xml:space="preserve">c</w:t>
      </w:r>
      <w:r>
        <w:t xml:space="preserve">. A family-conditional β, with one exponent per</w:t>
      </w:r>
      <w:r>
        <w:t xml:space="preserve"> </w:t>
      </w:r>
      <w:r>
        <w:t xml:space="preserve">substructure family, gives 0.604 dex. The improvement is only 0.009 dex,</w:t>
      </w:r>
      <w:r>
        <w:t xml:space="preserve"> </w:t>
      </w:r>
      <w:r>
        <w:t xml:space="preserve">which is below the relevant bootstrap precision. By contrast, the</w:t>
      </w:r>
      <w:r>
        <w:t xml:space="preserve"> </w:t>
      </w:r>
      <w:r>
        <w:t xml:space="preserve">per-compound parametric fit gives 0.260 dex. Family-conditional β</w:t>
      </w:r>
      <w:r>
        <w:t xml:space="preserve"> </w:t>
      </w:r>
      <w:r>
        <w:t xml:space="preserve">scaling therefore does not provide a useful operational scope. The</w:t>
      </w:r>
      <w:r>
        <w:t xml:space="preserve"> </w:t>
      </w:r>
      <w:r>
        <w:t xml:space="preserve">framework used in the main text is different: it first extracts</w:t>
      </w:r>
      <w:r>
        <w:t xml:space="preserve"> </w:t>
      </w:r>
      <w:r>
        <w:t xml:space="preserve">per-paper exponents from physically grouped curves, then aggregates</w:t>
      </w:r>
      <w:r>
        <w:t xml:space="preserve"> </w:t>
      </w:r>
      <w:r>
        <w:t xml:space="preserve">those exponents within substructure and sample-form cells when the</w:t>
      </w:r>
      <w:r>
        <w:t xml:space="preserve"> </w:t>
      </w:r>
      <w:r>
        <w:t xml:space="preserve">variance diagnostic supports that conditioning.</w:t>
      </w:r>
    </w:p>
    <w:p>
      <w:pPr>
        <w:pStyle w:val="BodyText"/>
      </w:pPr>
      <w:r>
        <w:rPr>
          <w:bCs/>
          <w:b/>
        </w:rPr>
        <w:t xml:space="preserve">8. Numerical details for validation claims</w:t>
      </w:r>
    </w:p>
    <w:p>
      <w:pPr>
        <w:pStyle w:val="BodyText"/>
      </w:pPr>
      <w:r>
        <w:t xml:space="preserve">The substructure-aggregate quadrature propagates the residual standard</w:t>
      </w:r>
      <w:r>
        <w:t xml:space="preserve"> </w:t>
      </w:r>
      <w:r>
        <w:t xml:space="preserve">deviations of the temperature exponent, the field exponent, and the partial</w:t>
      </w:r>
      <w:r>
        <w:t xml:space="preserve"> </w:t>
      </w:r>
      <w:r>
        <w:t xml:space="preserve">critical-current anchor over the substructure scope. For the iron pnictide 122-type family these are 0.265 in log Jc, partial and 0.920 in βH across the 36 field-axis fits passing physicality, and 0.563 in βT across that family's 106 temperature-axis fits. Evaluated at 4.2 K against a 22 K transition temperature and a 50 T upper critical field, the quadrature gives 0.270 dex at 0.1 T, 0.270 dex at 1 T, and 0.273 dex at 5 T, which the main text quotes as 0.27 dex. A previous version gave 0.285, 0.286 and 0.289 from a βT scatter of 1.158. That value is not reproducible from the deposit under any mask or estimator we tried: the same 106 fits give 1.171 on the exponent as deposited and 0.563 on the repaired exponent, which is the one used throughout. The value 1.158 does appear in the deposit, as the pooled unconditioned per-paper field-axis validation error over 94 fits reported two paragraphs below; we note the coincidence without asserting that it is the source. On the MgB2 class, which is the only family that dispatches, the same propagation gives 0.486 dex at 4.2 K and 0.573 dex at 20 K, at 5 T against a 38 K transition temperature and a 15.5 T upper critical field, drawing the temperature-exponent scatter from the separate per-paper cohort of 15 MgB2 fits because the 257-fit cohort carries none. The propagation is regenerated by analysis/propagated_uncertainty.py.</w:t>
      </w:r>
      <w:r>
        <w:t xml:space="preserve"/>
      </w:r>
      <w:r>
        <w:t xml:space="preserve"/>
      </w:r>
      <w:r>
        <w:rPr>
          <w:vertAlign w:val="subscript"/>
        </w:rPr>
        <w:t xml:space="preserve"/>
      </w:r>
      <w:r>
        <w:t xml:space="preserve"/>
      </w:r>
      <w:r>
        <w:rPr>
          <w:vertAlign w:val="subscript"/>
        </w:rPr>
        <w:t xml:space="preserve"/>
      </w:r>
      <w:r>
        <w:t xml:space="preserve"/>
      </w:r>
      <w:r>
        <w:t xml:space="preserve"/>
      </w:r>
      <w:r>
        <w:t xml:space="preserve"/>
      </w:r>
      <w:r>
        <w:rPr>
          <w:vertAlign w:val="subscript"/>
        </w:rPr>
        <w:t xml:space="preserve"/>
      </w:r>
      <w:r>
        <w:t/>
      </w:r>
      <w:r/>
      <w:r>
        <w:t xml:space="preserve"/>
      </w:r>
      <w:r>
        <w:t xml:space="preserve"/>
      </w:r>
      <w:r>
        <w:t xml:space="preserve"/>
      </w:r>
      <w:r>
        <w:t xml:space="preserve"/>
      </w:r>
      <w:r>
        <w:t xml:space="preserve"/>
      </w:r>
    </w:p>
    <w:p>
      <w:pPr>
        <w:pStyle w:val="BodyText"/>
      </w:pPr>
      <w:r>
        <w:t xml:space="preserve">The three terms are propagated as independent, and the reason is a property of</w:t>
      </w:r>
      <w:r>
        <w:t xml:space="preserve"> </w:t>
      </w:r>
      <w:r>
        <w:t xml:space="preserve">the corpus rather than a modelling choice. A correlation between β</w:t>
      </w:r>
      <w:r>
        <w:rPr>
          <w:vertAlign w:val="subscript"/>
        </w:rPr>
        <w:t xml:space="preserve">T</w:t>
      </w:r>
      <w:r>
        <w:t xml:space="preserve"> </w:t>
      </w:r>
      <w:r>
        <w:t xml:space="preserve">and β</w:t>
      </w:r>
      <w:r>
        <w:rPr>
          <w:vertAlign w:val="subscript"/>
        </w:rPr>
        <w:t xml:space="preserve">H</w:t>
      </w:r>
      <w:r>
        <w:t xml:space="preserve"> </w:t>
      </w:r>
      <w:r>
        <w:t xml:space="preserve">can only be estimated from records that carry both exponents. Within the</w:t>
      </w:r>
      <w:r>
        <w:t xml:space="preserve"> </w:t>
      </w:r>
      <w:r>
        <w:t xml:space="preserve">dispatch families there are none: in the iron pnictide 122-type family the</w:t>
      </w:r>
      <w:r>
        <w:t xml:space="preserve"> </w:t>
      </w:r>
      <w:r>
        <w:t xml:space="preserve">field-axis and temperature-axis cohorts share no source paper and compound in</w:t>
      </w:r>
      <w:r>
        <w:t xml:space="preserve"> </w:t>
      </w:r>
      <w:r>
        <w:t xml:space="preserve">common, so the two exponents are measured on disjoint sets of curves. A</w:t>
      </w:r>
      <w:r>
        <w:t xml:space="preserve"> </w:t>
      </w:r>
      <w:r>
        <w:t xml:space="preserve">within-family correlation between them is therefore not estimable from this</w:t>
      </w:r>
      <w:r>
        <w:t xml:space="preserve"> </w:t>
      </w:r>
      <w:r>
        <w:t>corpus, as distinct from being estimated and found negligible. Across the 23 fully fittable compounds of the pre-withdrawal cohort, the one cohort in which all three parameters are determined</w:t>
      </w:r>
      <w:r/>
      <w:r/>
      <w:r/>
      <w:r>
        <w:t xml:space="preserve"> for the same object, the measured pair correlations are −0.00</w:t>
      </w:r>
      <w:r>
        <w:t xml:space="preserve"> </w:t>
      </w:r>
      <w:r>
        <w:t xml:space="preserve">between β</w:t>
      </w:r>
      <w:r>
        <w:rPr>
          <w:vertAlign w:val="subscript"/>
        </w:rPr>
        <w:t xml:space="preserve">T</w:t>
      </w:r>
      <w:r>
        <w:t xml:space="preserve"> </w:t>
      </w:r>
      <w:r>
        <w:t xml:space="preserve">and β</w:t>
      </w:r>
      <w:r>
        <w:rPr>
          <w:vertAlign w:val="subscript"/>
        </w:rPr>
        <w:t xml:space="preserve">H</w:t>
      </w:r>
      <w:r>
        <w:t xml:space="preserve">, +0.36 between β</w:t>
      </w:r>
      <w:r>
        <w:rPr>
          <w:vertAlign w:val="subscript"/>
        </w:rPr>
        <w:t xml:space="preserve">T</w:t>
      </w:r>
      <w:r>
        <w:t xml:space="preserve"> </w:t>
      </w:r>
      <w:r>
        <w:t xml:space="preserve">and log J</w:t>
      </w:r>
      <w:r>
        <w:rPr>
          <w:vertAlign w:val="subscript"/>
        </w:rPr>
        <w:t xml:space="preserve">c, partial</w:t>
      </w:r>
      <w:r>
        <w:t xml:space="preserve">, and −0.05</w:t>
      </w:r>
      <w:r>
        <w:t xml:space="preserve"> </w:t>
      </w:r>
      <w:r>
        <w:t xml:space="preserve">between β</w:t>
      </w:r>
      <w:r>
        <w:rPr>
          <w:vertAlign w:val="subscript"/>
        </w:rPr>
        <w:t xml:space="preserve">H</w:t>
      </w:r>
      <w:r>
        <w:t xml:space="preserve"> </w:t>
      </w:r>
      <w:r>
        <w:t xml:space="preserve">and log J</w:t>
      </w:r>
      <w:r>
        <w:rPr>
          <w:vertAlign w:val="subscript"/>
        </w:rPr>
        <w:t xml:space="preserve">c, partial</w:t>
      </w:r>
      <w:r>
        <w:t xml:space="preserve">.</w:t>
      </w:r>
    </w:p>
    <w:p>
      <w:pPr>
        <w:pStyle w:val="BodyText"/>
      </w:pPr>
      <w:r>
        <w:t xml:space="preserve">The sign of a correlation correction is not the same for all three pairs. The derivative of log10 Jc with respect to the anchor is positive and the two logarithmic factors multiplying the exponents are negative, so a positive correlation between the anchor and either exponent lowers the propagated variance while a positive correlation between the two exponents raises it. On the corrected inputs at 5 T the three cross-term coefficients are -0.0274, -0.0223 and +0.0044, so their sum is negative and a uniform positive correlation lowers the result: 0.273 dex at zero correlation, 0.238 at 0.4 and 0.196 at 0.8. An earlier version of this section said the opposite, that independent quadrature understates the aggregate, which is wrong for this functional form; we therefore claim no bound in either direction.</w:t>
      </w:r>
      <w:r>
        <w:t xml:space="preserve"/>
      </w:r>
      <w:r>
        <w:t xml:space="preserve"/>
      </w:r>
      <w:r>
        <w:t xml:space="preserve"/>
      </w:r>
      <w:r>
        <w:t xml:space="preserve"> An</w:t>
      </w:r>
      <w:r>
        <w:t xml:space="preserve"> </w:t>
      </w:r>
      <w:r>
        <w:t xml:space="preserve">earlier version of this manuscript reported 0.41 dex from a correlated</w:t>
      </w:r>
      <w:r>
        <w:t xml:space="preserve"> </w:t>
      </w:r>
      <w:r>
        <w:t xml:space="preserve">propagation using pair correlations of +0.80, +0.40 and +0.80; those values are</w:t>
      </w:r>
      <w:r>
        <w:t xml:space="preserve"> </w:t>
      </w:r>
      <w:r>
        <w:t xml:space="preserve">not reproducible from the deposited per-family cohorts and the figure has been</w:t>
      </w:r>
      <w:r>
        <w:t xml:space="preserve"> </w:t>
      </w:r>
      <w:r>
        <w:t xml:space="preserve">withdrawn in favour of the quantity computed above.</w:t>
      </w:r>
    </w:p>
    <w:p>
      <w:pPr>
        <w:pStyle w:val="BodyText"/>
      </w:pPr>
      <w:r>
        <w:t>The per-paper leave-one-out validation is regenerated by analysis/compound_leave_one_out.py and deposited as audit/per_paper_field_validation.csv. We report both predictors, because they no longer favour the conditioned one. The Stage 2 predictor, conditioned on substructure and sample form, gives a mean absolute error of 1.572 in βH over the 19 fits it can score out of the 52 admitted, drawn from 6 papers, with a 95% bootstrap confidence interval of [0.800, 2.253]. A pooled median with no conditioning gives 1.361 over all 52 fits from 12 papers, with [0.741, 2.130]. On the cohort as published the same two predictors gave 1.257 over 82 fits and 1.158 over 94, from 16 papers. The bootstrap uses 5000 iterations with seed 20260901 and the percentile method throughout, and resamples source papers rather than individual residuals; resampling residuals independently treats several readings of one figure as independent observations and returns [1.201, 1.958] and [1.039, 1.789], which are too narrow to support any statement about the threshold. The two Stage 2 figures are not the same statistic on a smaller cohort. Stage 2 cannot score a fit whose combination of substructure and sample form is represented by no other paper, which on the published cohort leaves 82 of 94 fits, 73% of them iron-based, and on the repaired cohort leaves 19 of 52, 89% of them MgB2: every iron chalcogenide and 1111-type cell is empty and the whole iron contribution is two thin-film 122-type fits. The move from 1.257 to 1.572 therefore sets the error on one material class beside the error on another. What the repairs changed is Stage 2's reach, from 87% of the cohort to 37%. The pooled row, which scores every fit, is the one comparable across the two cohorts. The conditioned predictor no longer has the lower error on either cohort, and we state that rather than reporting only the figure that flatters it. An earlier version of this section quoted 0.994 against a pre-expansion 1.069 on a 99-fit cohort. Neither is reproducible from the deposited data and both are withdrawn.</w:t>
      </w:r>
      <w:r/>
      <w:r/>
      <w:r>
        <w:rPr>
          <w:vertAlign w:val="subscript"/>
        </w:rPr>
      </w:r>
      <w:r/>
      <w:r/>
      <w:r/>
      <w:r/>
      <w:r/>
      <w:r/>
      <w:r/>
      <w:r/>
      <w:r/>
      <w:r/>
      <w:r/>
      <w:r/>
      <w:r/>
      <w:r/>
      <w:r/>
      <w:r/>
      <w:r/>
      <w:r/>
      <w:r/>
      <w:r/>
      <w:r/>
      <w:r/>
      <w:r/>
      <w:r/>
      <w:r/>
      <w:r/>
      <w:r/>
    </w:p>
    <w:p>
      <w:pPr>
        <w:pStyle w:val="BodyText"/>
      </w:pPr>
      <w:r>
        <w:rPr>
          <w:bCs/>
          <w:b/>
        </w:rPr>
        <w:t xml:space="preserve">9. Upper-critical-field coverage by substructure</w:t>
      </w:r>
    </w:p>
    <w:p>
      <w:pPr>
        <w:pStyle w:val="BodyText"/>
      </w:pPr>
      <w:r>
        <w:t xml:space="preserve">Upper-critical-field coverage determines whether a candidate can receive</w:t>
      </w:r>
      <w:r>
        <w:t xml:space="preserve"> </w:t>
      </w:r>
      <w:r>
        <w:t xml:space="preserve">field-axis predictions. The counts below are record-level; the corresponding</w:t>
      </w:r>
      <w:r>
        <w:t xml:space="preserve"> </w:t>
      </w:r>
      <w:r>
        <w:t xml:space="preserve">distinct-compound counts are given in Table IV of the main text. The 11-type iron chalcogenide has 55 candidates</w:t>
      </w:r>
      <w:r>
        <w:t xml:space="preserve"> </w:t>
      </w:r>
      <w:r>
        <w:t xml:space="preserve">and complete coverage. On the distinct-compound basis used in Table IV of the main text, seven anchors are</w:t>
      </w:r>
      <w:r>
        <w:t xml:space="preserve"> </w:t>
      </w:r>
      <w:r>
        <w:t xml:space="preserve">paper-reported and 24 use FeSe, FeTe, or FeSe-Te substructure-reference anchors with deviation</w:t>
      </w:r>
      <w:r>
        <w:t xml:space="preserve"> </w:t>
      </w:r>
      <w:r>
        <w:t xml:space="preserve">flags. The MgB</w:t>
      </w:r>
      <w:r>
        <w:rPr>
          <w:vertAlign w:val="subscript"/>
        </w:rPr>
        <w:t xml:space="preserve">2</w:t>
      </w:r>
      <w:r>
        <w:t xml:space="preserve">-class has 105 candidates, of which 87</w:t>
      </w:r>
      <w:r>
        <w:t xml:space="preserve"> </w:t>
      </w:r>
      <w:r>
        <w:t xml:space="preserve">have upper-critical-field anchors, yielding 82.9% coverage. One anchor is paper-reported and 84 inherit the MgB</w:t>
      </w:r>
      <w:r>
        <w:rPr>
          <w:vertAlign w:val="subscript"/>
        </w:rPr>
        <w:t xml:space="preserve">2</w:t>
      </w:r>
      <w:r>
        <w:t xml:space="preserve"> </w:t>
      </w:r>
      <w:r>
        <w:t xml:space="preserve">parent value of 15.5 T with 20 to 50%</w:t>
      </w:r>
      <w:r>
        <w:t xml:space="preserve"> </w:t>
      </w:r>
      <w:r>
        <w:t xml:space="preserve">deviation flags, on the distinct-compound basis of Table IV. The remaining eighteen MgB</w:t>
      </w:r>
      <w:r>
        <w:rPr>
          <w:vertAlign w:val="subscript"/>
        </w:rPr>
        <w:t xml:space="preserve">2</w:t>
      </w:r>
      <w:r>
        <w:t xml:space="preserve">-class</w:t>
      </w:r>
      <w:r>
        <w:t xml:space="preserve"> </w:t>
      </w:r>
      <w:r>
        <w:t xml:space="preserve">candidates are exotic diborides without infrastructure coverage in the</w:t>
      </w:r>
      <w:r>
        <w:t xml:space="preserve"> </w:t>
      </w:r>
      <w:r>
        <w:t xml:space="preserve">current sweep.</w:t>
      </w:r>
    </w:p>
    <w:p>
      <w:pPr>
        <w:pStyle w:val="BodyText"/>
      </w:pPr>
      <w:r>
        <w:t xml:space="preserve">The 122-type iron pnictide has 79 candidates, of which 37 have</w:t>
      </w:r>
      <w:r>
        <w:t xml:space="preserve"> </w:t>
      </w:r>
      <w:r>
        <w:t xml:space="preserve">upper-critical-field anchors, yielding 46.8% coverage. Six anchors are paper-reported and three inherit the Ba-122 parent reference, on the</w:t>
      </w:r>
      <w:r>
        <w:t xml:space="preserve"> </w:t>
      </w:r>
      <w:r>
        <w:t xml:space="preserve">distinct-compound basis of Table IV. The remaining 42 candidates are cation-variant 122-type</w:t>
      </w:r>
      <w:r>
        <w:t xml:space="preserve"> </w:t>
      </w:r>
      <w:r>
        <w:t xml:space="preserve">compounds without upper-critical-field data in the current sweep. These</w:t>
      </w:r>
      <w:r>
        <w:t xml:space="preserve"> </w:t>
      </w:r>
      <w:r>
        <w:t xml:space="preserve">candidates receive temperature-axis-only outputs when the other refusal</w:t>
      </w:r>
      <w:r>
        <w:t xml:space="preserve"> </w:t>
      </w:r>
      <w:r>
        <w:t>gates pass. Across the three dispatched families, 173 of the 233 candidate records have upper-critical-field coverage, corresponding to 74.2% coverage on the record basis</w:t>
      </w:r>
      <w:r/>
      <w:r/>
      <w:r/>
      <w:r>
        <w:t>; the 60 without it are the source of the 540 field-axis refusals. Coverage here means that an anchor value exists, not that it was</w:t>
      </w:r>
      <w:r>
        <w:t xml:space="preserve"> </w:t>
      </w:r>
      <w:r>
        <w:t xml:space="preserve">read from a critical-field measurement in the source paper. Section 13 below</w:t>
      </w:r>
      <w:r>
        <w:t xml:space="preserve"> </w:t>
      </w:r>
      <w:r>
        <w:t xml:space="preserve">reports the provenance audit of those anchors, and Section III.F of the main</w:t>
      </w:r>
      <w:r>
        <w:t xml:space="preserve"> </w:t>
      </w:r>
      <w:r>
        <w:t xml:space="preserve">text states the consequences for every field-axis result.</w:t>
      </w:r>
    </w:p>
    <w:p>
      <w:pPr>
        <w:pStyle w:val="BodyText"/>
      </w:pPr>
      <w:r>
        <w:rPr>
          <w:bCs/>
          <w:b/>
        </w:rPr>
        <w:t xml:space="preserve">10. Complete candidate prediction tuple set</w:t>
      </w:r>
    </w:p>
    <w:p>
      <w:pPr>
        <w:pStyle w:val="BodyText"/>
      </w:pPr>
      <w:r>
        <w:t>The complete prediction table includes 233 candidate records covering 183 distinct compounds, evaluated at nine target grid points, giving 2097 candidate-grid tuples</w:t>
      </w:r>
      <w:r/>
      <w:r/>
      <w:r/>
      <w:r>
        <w:t>. Records exceed compounds because the same compound can</w:t>
      </w:r>
      <w:r>
        <w:t xml:space="preserve"> </w:t>
      </w:r>
      <w:r>
        <w:t>be reached through more than one source paper. On the compound basis, 84 of the 183 receive at least one non-refused prediction target, all of them MgB2-class, as reported in Table IV of the main text.</w:t>
      </w:r>
      <w:r/>
      <w:r/>
      <w:r/>
      <w:r>
        <w:t xml:space="preserve"> Two screens act on the candidate set, and we state the criterion for each so</w:t>
      </w:r>
      <w:r>
        <w:t xml:space="preserve"> </w:t>
      </w:r>
      <w:r>
        <w:t xml:space="preserve">that both are checkable against the deposited table.</w:t>
      </w:r>
    </w:p>
    <w:p>
      <w:pPr>
        <w:pStyle w:val="BodyText"/>
      </w:pPr>
      <w:r>
        <w:t xml:space="preserve">The first is the calibration-domain screen. A record is refused when its</w:t>
      </w:r>
      <w:r>
        <w:t xml:space="preserve"> </w:t>
      </w:r>
      <w:r>
        <w:t xml:space="preserve">transition-temperature anchor lies below 4.2 K, the lowest absolute temperature</w:t>
      </w:r>
      <w:r>
        <w:t xml:space="preserve"> </w:t>
      </w:r>
      <w:r>
        <w:t xml:space="preserve">on the evaluation grid, since such a candidate cannot be evaluated at the</w:t>
      </w:r>
      <w:r>
        <w:t xml:space="preserve"> </w:t>
      </w:r>
      <w:r>
        <w:t>reference point at all. Of the 233 records, 21 fail this test and 212 are retained</w:t>
      </w:r>
      <w:r/>
      <w:r>
        <w:t>. Classifying the retained records against the transition-temperature</w:t>
      </w:r>
      <w:r>
        <w:t xml:space="preserve"> </w:t>
      </w:r>
      <w:r>
        <w:t xml:space="preserve">range of their family’s calibration cohort, taken as 8.0 to 14.5 K for iron</w:t>
      </w:r>
      <w:r>
        <w:t xml:space="preserve"> </w:t>
      </w:r>
      <w:r>
        <w:t xml:space="preserve">chalcogenide 11-type and 20.0 to 38.0 K for iron pnictide 122-type from the</w:t>
      </w:r>
      <w:r>
        <w:t xml:space="preserve"> </w:t>
      </w:r>
      <w:r>
        <w:t xml:space="preserve">temperature-axis fits, and as the single 39 K MgB</w:t>
      </w:r>
      <w:r>
        <w:rPr>
          <w:vertAlign w:val="subscript"/>
        </w:rPr>
        <w:t xml:space="preserve">2</w:t>
      </w:r>
      <w:r>
        <w:t xml:space="preserve"> </w:t>
      </w:r>
      <w:r>
        <w:t xml:space="preserve">value for the MgB</w:t>
      </w:r>
      <w:r>
        <w:rPr>
          <w:vertAlign w:val="subscript"/>
        </w:rPr>
        <w:t xml:space="preserve">2</w:t>
      </w:r>
      <w:r>
        <w:t xml:space="preserve">-class</w:t>
      </w:r>
      <w:r>
        <w:t xml:space="preserve"> </w:t>
      </w:r>
      <w:r>
        <w:t>family, 130 records fall below their family range and 82 fall at or above it, of which 81 are inside the range and one above it</w:t>
      </w:r>
      <w:r/>
      <w:r>
        <w:t>.</w:t>
      </w:r>
    </w:p>
    <w:p>
      <w:pPr>
        <w:pStyle w:val="BodyText"/>
      </w:pPr>
      <w:r>
        <w:t xml:space="preserve">The second is the outlier screen on the emitted predictions. It removes six</w:t>
      </w:r>
      <w:r>
        <w:t xml:space="preserve"> </w:t>
      </w:r>
      <w:r>
        <w:t xml:space="preserve">tuples across two iron-chalcogenide candidates, Fe1Te1 and Fe1Se0.05Te0.95,</w:t>
      </w:r>
      <w:r>
        <w:t xml:space="preserve"> </w:t>
      </w:r>
      <w:r>
        <w:t xml:space="preserve">whose transition-temperature anchors of 1.50 and 3.35 K sit far below the 10 to</w:t>
      </w:r>
      <w:r>
        <w:t xml:space="preserve"> </w:t>
      </w:r>
      <w:r>
        <w:t xml:space="preserve">14 K anchors of the family’s calibration cohort. At their compound-specific</w:t>
      </w:r>
      <w:r>
        <w:t xml:space="preserve"> </w:t>
      </w:r>
      <w:r>
        <w:t xml:space="preserve">0.77 T</w:t>
      </w:r>
      <w:r>
        <w:rPr>
          <w:vertAlign w:val="subscript"/>
        </w:rPr>
        <w:t xml:space="preserve">c</w:t>
      </w:r>
      <w:r>
        <w:t xml:space="preserve"> </w:t>
      </w:r>
      <w:r>
        <w:t xml:space="preserve">grid points, 1.155 and 2.580 K, the substructure-aggregate exponent</w:t>
      </w:r>
      <w:r>
        <w:t xml:space="preserve"> </w:t>
      </w:r>
      <w:r>
        <w:t xml:space="preserve">extrapolates to log</w:t>
      </w:r>
      <w:r>
        <w:rPr>
          <w:vertAlign w:val="subscript"/>
        </w:rPr>
        <w:t xml:space="preserve">10</w:t>
      </w:r>
      <w:r>
        <w:t xml:space="preserve"> </w:t>
      </w:r>
      <w:r>
        <w:t xml:space="preserve">J</w:t>
      </w:r>
      <w:r>
        <w:rPr>
          <w:vertAlign w:val="subscript"/>
        </w:rPr>
        <w:t xml:space="preserve">c</w:t>
      </w:r>
      <w:r>
        <w:t xml:space="preserve"> </w:t>
      </w:r>
      <w:r>
        <w:t xml:space="preserve">values of 9.497, 9.486 and 9.432, deviating +3.54</w:t>
      </w:r>
      <w:r>
        <w:t xml:space="preserve"> </w:t>
      </w:r>
      <w:r>
        <w:t xml:space="preserve">to +3.61 dex from the family mean at that grid point with z-scores of 5.08 to</w:t>
      </w:r>
      <w:r>
        <w:t xml:space="preserve"> </w:t>
      </w:r>
      <w:r>
        <w:t xml:space="preserve">5.09. The deposited within-substructure outlier audit lists all six rows.</w:t>
      </w:r>
      <w:r>
        <w:t xml:space="preserve"> </w:t>
      </w:r>
      <w:r>
        <w:t xml:space="preserve">Because these two candidates receive no other non-refused prediction, both</w:t>
      </w:r>
      <w:r>
        <w:t xml:space="preserve"> </w:t>
      </w:r>
      <w:r>
        <w:t xml:space="preserve">grid temperatures of 4.2 and 20 K lying above their transition temperatures,</w:t>
      </w:r>
      <w:r>
        <w:t xml:space="preserve"> </w:t>
      </w:r>
      <w:r>
        <w:t>removing the six tuples changes no reported count. They fall on two iron chalcogenide candidates, and that family no longer dispatches at all, so the 84 compounds the dispatch emits are the 84 reported in the main text.</w:t>
      </w:r>
      <w:r/>
      <w:r>
        <w:t xml:space="preserve"> Both screens are</w:t>
      </w:r>
      <w:r>
        <w:t xml:space="preserve"> </w:t>
      </w:r>
      <w:r>
        <w:t xml:space="preserve">applied at the reporting layer, so the deposited prediction file carries no</w:t>
      </w:r>
      <w:r>
        <w:t xml:space="preserve"> </w:t>
      </w:r>
      <w:r>
        <w:t xml:space="preserve">refusal code for either.</w:t>
      </w:r>
    </w:p>
    <w:p>
      <w:pPr>
        <w:pStyle w:val="BodyText"/>
      </w:pPr>
      <w:r>
        <w:t xml:space="preserve">Each tuple contains the</w:t>
      </w:r>
      <w:r>
        <w:t xml:space="preserve"> </w:t>
      </w:r>
      <w:r>
        <w:t xml:space="preserve">following information: candidate identifier, substructure family,</w:t>
      </w:r>
      <w:r>
        <w:t xml:space="preserve"> </w:t>
      </w:r>
      <w:r>
        <w:t xml:space="preserve">confidence tier, transition-temperature anchor and its provenance,</w:t>
      </w:r>
      <w:r>
        <w:t xml:space="preserve"> </w:t>
      </w:r>
      <w:r>
        <w:t xml:space="preserve">upper-critical-field anchor and its provenance, sample form commitment</w:t>
      </w:r>
      <w:r>
        <w:t xml:space="preserve"> </w:t>
      </w:r>
      <w:r>
        <w:t xml:space="preserve">(where applicable), predicted log</w:t>
      </w:r>
      <w:r>
        <w:rPr>
          <w:vertAlign w:val="subscript"/>
        </w:rPr>
        <w:t xml:space="preserve">10</w:t>
      </w:r>
      <w:r>
        <w:t xml:space="preserve"> </w:t>
      </w:r>
      <w:r>
        <w:t xml:space="preserve">J, 95% bootstrap confidence</w:t>
      </w:r>
      <w:r>
        <w:t xml:space="preserve"> </w:t>
      </w:r>
      <w:r>
        <w:t xml:space="preserve">interval, and a refusal code for instances where a prediction is not</w:t>
      </w:r>
      <w:r>
        <w:t xml:space="preserve"> </w:t>
      </w:r>
      <w:r>
        <w:t xml:space="preserve">made. The grid combines three temperature values, 4.2 K, 20 K, and 0.77</w:t>
      </w:r>
      <w:r>
        <w:t xml:space="preserve"> </w:t>
      </w:r>
      <w:r>
        <w:t xml:space="preserve">T</w:t>
      </w:r>
      <w:r>
        <w:rPr>
          <w:vertAlign w:val="subscript"/>
        </w:rPr>
        <w:t xml:space="preserve">c</w:t>
      </w:r>
      <w:r>
        <w:t xml:space="preserve">, with three applied magnetic fields, 0.1 T, 1 T, and 5 T.</w:t>
      </w:r>
    </w:p>
    <w:p>
      <w:pPr>
        <w:pStyle w:val="BodyText"/>
      </w:pPr>
      <w:r>
        <w:t xml:space="preserve">The refusal rates at the dispatch level are specific to each prediction</w:t>
      </w:r>
      <w:r>
        <w:t xml:space="preserve"> </w:t>
      </w:r>
      <w:r>
        <w:t xml:space="preserve">target, whether temperature-axis or field-axis outputs for a given</w:t>
      </w:r>
      <w:r>
        <w:t xml:space="preserve"> </w:t>
      </w:r>
      <w:r>
        <w:t xml:space="preserve">compound. No candidate triggers the non-monotonic J</w:t>
      </w:r>
      <w:r>
        <w:rPr>
          <w:vertAlign w:val="subscript"/>
        </w:rPr>
        <w:t xml:space="preserve">c</w:t>
      </w:r>
      <w:r>
        <w:t>(T) gate. Of the candidate-grid tuples, 50.3% for lying below the validated reduced field, 25.8% for a missing upper-critical-field anchor, 9.9% for a target temperature above Tc, 4.4% for lying at or above the validated reduced temperature, 1.9% for the family failing field-axis validation.</w:t>
      </w:r>
      <w:r/>
      <w:r/>
      <w:r/>
      <w:r/>
      <w:r/>
      <w:r>
        <w:t xml:space="preserve"> These</w:t>
      </w:r>
      <w:r>
        <w:t xml:space="preserve"> </w:t>
      </w:r>
      <w:r>
        <w:t xml:space="preserve">rates reflect the target-dependent structure of the refusal system: a</w:t>
      </w:r>
      <w:r>
        <w:t xml:space="preserve"> </w:t>
      </w:r>
      <w:r>
        <w:t xml:space="preserve">compound can be refused for field-axis prediction while still receiving</w:t>
      </w:r>
      <w:r>
        <w:t xml:space="preserve"> </w:t>
      </w:r>
      <w:r>
        <w:t xml:space="preserve">temperature-axis-only outputs.</w:t>
      </w:r>
    </w:p>
    <w:p>
      <w:pPr>
        <w:pStyle w:val="BodyText"/>
      </w:pPr>
      <w:r>
        <w:rPr>
          <w:bCs/>
          <w:b/>
        </w:rPr>
        <w:t xml:space="preserve">11. Source-paper extraction provenance</w:t>
      </w:r>
    </w:p>
    <w:p>
      <w:pPr>
        <w:pStyle w:val="BodyText"/>
      </w:pPr>
      <w:r>
        <w:t>The provenance record reported in Table S1 covers the 50 source papers that contribute fitted data</w:t>
      </w:r>
      <w:r/>
      <w:r>
        <w:t xml:space="preserve"> to the analysis after physicality and</w:t>
      </w:r>
      <w:r>
        <w:t xml:space="preserve"> </w:t>
      </w:r>
      <w:r>
        <w:t xml:space="preserve">applicability screening. As Section II.A of the main text states, these are</w:t>
      </w:r>
      <w:r>
        <w:t xml:space="preserve"> </w:t>
      </w:r>
      <w:r>
        <w:t xml:space="preserve">not drawn exclusively from the Elsevier and Springer retrieval corpus:</w:t>
      </w:r>
      <w:r>
        <w:t xml:space="preserve"> </w:t>
      </w:r>
      <w:r>
        <w:t>18 of the 20 temperature-axis source papers are arXiv preprints, and the</w:t>
      </w:r>
      <w:r>
        <w:t xml:space="preserve"> </w:t>
      </w:r>
      <w:r>
        <w:t xml:space="preserve">field-axis cohort additionally includes nine records digitized from National</w:t>
      </w:r>
      <w:r>
        <w:t xml:space="preserve"> </w:t>
      </w:r>
      <w:r>
        <w:t xml:space="preserve">High Magnetic Field Laboratory datasets. Each row records the DOI or arXiv identifier,</w:t>
      </w:r>
      <w:r>
        <w:t xml:space="preserve"> </w:t>
      </w:r>
      <w:r>
        <w:t xml:space="preserve">compound identifier, assigned substructure family, sample form (where</w:t>
      </w:r>
      <w:r>
        <w:t xml:space="preserve"> </w:t>
      </w:r>
      <w:r>
        <w:t xml:space="preserve">the source pipeline records it), transition-temperature anchor with</w:t>
      </w:r>
      <w:r>
        <w:t xml:space="preserve"> </w:t>
      </w:r>
      <w:r>
        <w:t xml:space="preserve">provenance tier, upper-critical-field anchor with provenance tier</w:t>
      </w:r>
      <w:r>
        <w:t xml:space="preserve"> </w:t>
      </w:r>
      <w:r>
        <w:t xml:space="preserve">(paper-reported versus literature-catalog), the number of extracted</w:t>
      </w:r>
      <w:r>
        <w:t xml:space="preserve"> </w:t>
      </w:r>
      <w:r>
        <w:t xml:space="preserve">critical-current points contributed, and a contribution flag. The</w:t>
      </w:r>
      <w:r>
        <w:t xml:space="preserve"> </w:t>
      </w:r>
      <w:r>
        <w:t xml:space="preserve">contribution flag specifies how the source enters the analysis: fully</w:t>
      </w:r>
      <w:r>
        <w:t xml:space="preserve"> </w:t>
      </w:r>
      <w:r>
        <w:t>fittable (the paper’s compound is among the 20 compounds, of the 24 that retain any data after the eleven withdrawals, whose per-compound aggregate Form 3 fit is computable; 10 of these are represented by papers whose per-paper fits also pass physicality and therefore appear here</w:t>
      </w:r>
      <w:r/>
      <w:r/>
      <w:r/>
      <w:r/>
      <w:r/>
      <w:r>
        <w:t>), Cohort A only (a temperature-axis fit only),</w:t>
      </w:r>
      <w:r>
        <w:t xml:space="preserve"> </w:t>
      </w:r>
      <w:r>
        <w:t>Cohort B only (a field-axis fit only), or Cohort A and B with a non-fittable aggregate compound (both axes contributed, but the per-compound aggregate fit is not computable at the current cohort scope). Computable here means that at least 20 measurements and three distinct temperatures survive the Form 3 inclusion filter. An earlier version of this section called it convergence, which the underlying fitter does not test: it returns the least-squares parameters without reading a convergence flag, and several of the compounds it admits are poorly constrained. On the cohort as published the count was 23 of 27</w:t>
      </w:r>
      <w:r/>
      <w:r/>
      <w:r/>
      <w:r/>
      <w:r/>
      <w:r>
        <w:t>. The 934-article retrieval corpus is described at the screening stage in Section II.A; sources removed by that earlier screening do not</w:t>
      </w:r>
      <w:r>
        <w:t xml:space="preserve"> </w:t>
      </w:r>
      <w:r>
        <w:t xml:space="preserve">produce per-paper records and are accounted for at the corpus level</w:t>
      </w:r>
      <w:r>
        <w:t xml:space="preserve"> </w:t>
      </w:r>
      <w:r>
        <w:t xml:space="preserve">only. Table S1 thus links every fitted exponent that enters the analysis</w:t>
      </w:r>
      <w:r>
        <w:t xml:space="preserve"> </w:t>
      </w:r>
      <w:r>
        <w:t xml:space="preserve">to an auditable literature record while preserving the corpus-screening</w:t>
      </w:r>
      <w:r>
        <w:t xml:space="preserve"> </w:t>
      </w:r>
      <w:r>
        <w:t xml:space="preserve">count of 934 PDFs reported earlier. The complete per-paper table is</w:t>
      </w:r>
      <w:r>
        <w:t xml:space="preserve"> </w:t>
      </w:r>
      <w:r>
        <w:t xml:space="preserve">provided as a deposited data file (provenance_table_fitcohort_full.csv);</w:t>
      </w:r>
      <w:r>
        <w:t xml:space="preserve"> </w:t>
      </w:r>
      <w:r>
        <w:t xml:space="preserve">a summary by substructure family is given in Table S1 below.</w:t>
      </w:r>
    </w:p>
    <w:p>
      <w:pPr>
        <w:pStyle w:val="BodyText"/>
      </w:pPr>
      <w:r>
        <w:rPr>
          <w:bCs/>
          <w:b/>
        </w:rPr>
        <w:t xml:space="preserve">Table S1.</w:t>
      </w:r>
      <w:r>
        <w:t xml:space="preserve"> </w:t>
      </w:r>
      <w:r>
        <w:t xml:space="preserve">Provenance of papers contributing fitted data, summarized</w:t>
      </w:r>
      <w:r>
        <w:t xml:space="preserve"> </w:t>
      </w:r>
      <w:r>
        <w:t>by substructure family. The 50 papers listed contribute curves that pass physicality and applicability screening. They include arXiv preprints and facility datasets as well as the Elsevier and Springer retrieval corpus; see Section II.A of the main text. The complete per-paper record is provided as a deposited data</w:t>
      </w:r>
      <w:r>
        <w:t xml:space="preserve"> </w:t>
      </w:r>
      <w:r>
        <w:t xml:space="preserve">file. The row labelled Conventional AlB2 is the family the main text calls MgB</w:t>
      </w:r>
      <w:r>
        <w:rPr>
          <w:vertAlign w:val="subscript"/>
        </w:rPr>
        <w:t xml:space="preserve">2</w:t>
      </w:r>
      <w:r>
        <w:t xml:space="preserve">-class; the label here follows the pipeline’s structural classification. Sample form is recorded for the field-axis (Cohort B) fits;</w:t>
      </w:r>
      <w:r>
        <w:t xml:space="preserve"> </w:t>
      </w:r>
      <w:r>
        <w:t xml:space="preserve">temperature-axis-only (Cohort A) papers do not carry a sample-form label</w:t>
      </w:r>
      <w:r>
        <w:t xml:space="preserve"> </w:t>
      </w:r>
      <w:r>
        <w:t xml:space="preserve">in the source pipeline.</w:t>
      </w:r>
    </w:p>
    <w:tbl>
      <w:tblPr>
        <w:tblStyle w:val="Table"/>
        <w:tblW w:type="pct" w:w="4922"/>
        <w:tblLook w:firstRow="1" w:lastRow="0" w:firstColumn="0" w:lastColumn="0" w:noHBand="0" w:noVBand="0" w:val="0020"/>
        <w:jc w:val="start"/>
      </w:tblPr>
      <w:tblGrid>
        <w:gridCol w:w="1051"/>
        <w:gridCol w:w="680"/>
        <w:gridCol w:w="804"/>
        <w:gridCol w:w="680"/>
        <w:gridCol w:w="680"/>
        <w:gridCol w:w="1175"/>
        <w:gridCol w:w="866"/>
        <w:gridCol w:w="1175"/>
        <w:gridCol w:w="680"/>
      </w:tblGrid>
      <w:tr>
        <w:trPr>
          <w:tblHeader w:val="true"/>
        </w:trPr>
        <w:tc>
          <w:tcPr/>
          <w:p>
            <w:pPr>
              <w:pStyle w:val="Compact"/>
              <w:jc w:val="left"/>
            </w:pPr>
            <w:r>
              <w:rPr>
                <w:bCs/>
                <w:b/>
              </w:rPr>
              <w:t xml:space="preserve">Substructure</w:t>
            </w:r>
            <w:r>
              <w:rPr>
                <w:bCs/>
                <w:b/>
              </w:rPr>
              <w:t xml:space="preserve"> </w:t>
            </w:r>
            <w:r>
              <w:rPr>
                <w:bCs/>
                <w:b/>
              </w:rPr>
              <w:t xml:space="preserve">family</w:t>
            </w:r>
          </w:p>
        </w:tc>
        <w:tc>
          <w:tcPr/>
          <w:p>
            <w:pPr>
              <w:pStyle w:val="Compact"/>
              <w:jc w:val="left"/>
            </w:pPr>
            <w:r>
              <w:rPr>
                <w:bCs/>
                <w:b/>
              </w:rPr>
              <w:t xml:space="preserve">n</w:t>
            </w:r>
            <w:r>
              <w:rPr>
                <w:bCs/>
                <w:b/>
              </w:rPr>
              <w:t xml:space="preserve"> </w:t>
            </w:r>
            <w:r>
              <w:rPr>
                <w:bCs/>
                <w:b/>
              </w:rPr>
              <w:t xml:space="preserve">papers</w:t>
            </w:r>
          </w:p>
        </w:tc>
        <w:tc>
          <w:tcPr/>
          <w:p>
            <w:pPr>
              <w:pStyle w:val="Compact"/>
              <w:jc w:val="left"/>
            </w:pPr>
            <w:r>
              <w:rPr>
                <w:bCs/>
                <w:b/>
              </w:rPr>
              <w:t xml:space="preserve">Fully</w:t>
            </w:r>
            <w:r>
              <w:rPr>
                <w:bCs/>
                <w:b/>
              </w:rPr>
              <w:t xml:space="preserve"> </w:t>
            </w:r>
            <w:r>
              <w:rPr>
                <w:bCs/>
                <w:b/>
              </w:rPr>
              <w:t xml:space="preserve">fittable</w:t>
            </w:r>
          </w:p>
        </w:tc>
        <w:tc>
          <w:tcPr/>
          <w:p>
            <w:pPr>
              <w:pStyle w:val="Compact"/>
              <w:jc w:val="left"/>
            </w:pPr>
            <w:r>
              <w:rPr>
                <w:bCs/>
                <w:b/>
              </w:rPr>
              <w:t xml:space="preserve">Cohort A</w:t>
            </w:r>
            <w:r>
              <w:rPr>
                <w:bCs/>
                <w:b/>
              </w:rPr>
              <w:t xml:space="preserve"> </w:t>
            </w:r>
            <w:r>
              <w:rPr>
                <w:bCs/>
                <w:b/>
              </w:rPr>
              <w:t xml:space="preserve">only</w:t>
            </w:r>
          </w:p>
        </w:tc>
        <w:tc>
          <w:tcPr/>
          <w:p>
            <w:pPr>
              <w:pStyle w:val="Compact"/>
              <w:jc w:val="left"/>
            </w:pPr>
            <w:r>
              <w:rPr>
                <w:bCs/>
                <w:b/>
              </w:rPr>
              <w:t xml:space="preserve">Cohort B</w:t>
            </w:r>
            <w:r>
              <w:rPr>
                <w:bCs/>
                <w:b/>
              </w:rPr>
              <w:t xml:space="preserve"> </w:t>
            </w:r>
            <w:r>
              <w:rPr>
                <w:bCs/>
                <w:b/>
              </w:rPr>
              <w:t xml:space="preserve">only</w:t>
            </w:r>
          </w:p>
        </w:tc>
        <w:tc>
          <w:tcPr/>
          <w:p>
            <w:pPr>
              <w:pStyle w:val="Compact"/>
              <w:jc w:val="left"/>
            </w:pPr>
            <w:r>
              <w:rPr>
                <w:bCs/>
                <w:b/>
              </w:rPr>
              <w:t xml:space="preserve">Cohort A+B</w:t>
            </w:r>
            <w:r>
              <w:rPr>
                <w:bCs/>
                <w:b/>
              </w:rPr>
              <w:t xml:space="preserve"> </w:t>
            </w:r>
            <w:r>
              <w:rPr>
                <w:bCs/>
                <w:b/>
              </w:rPr>
              <w:t xml:space="preserve">(non-fittable)</w:t>
            </w:r>
          </w:p>
        </w:tc>
        <w:tc>
          <w:tcPr/>
          <w:p>
            <w:pPr>
              <w:pStyle w:val="Compact"/>
              <w:jc w:val="left"/>
            </w:pPr>
            <w:r>
              <w:rPr>
                <w:bCs/>
                <w:b/>
              </w:rPr>
              <w:t xml:space="preserve">Distinct</w:t>
            </w:r>
            <w:r>
              <w:rPr>
                <w:bCs/>
                <w:b/>
              </w:rPr>
              <w:t xml:space="preserve"> </w:t>
            </w:r>
            <w:r>
              <w:rPr>
                <w:bCs/>
                <w:b/>
              </w:rPr>
              <w:t xml:space="preserve">compounds</w:t>
            </w:r>
          </w:p>
        </w:tc>
        <w:tc>
          <w:tcPr/>
          <w:p>
            <w:pPr>
              <w:pStyle w:val="Compact"/>
              <w:jc w:val="left"/>
            </w:pPr>
            <w:r>
              <w:rPr>
                <w:bCs/>
                <w:b/>
              </w:rPr>
              <w:t xml:space="preserve">Paper-reported</w:t>
            </w:r>
            <w:r>
              <w:rPr>
                <w:bCs/>
                <w:b/>
              </w:rPr>
              <w:t xml:space="preserve"> </w:t>
            </w:r>
            <w:r>
              <w:rPr>
                <w:bCs/>
                <w:b/>
              </w:rPr>
              <w:t xml:space="preserve">H</w:t>
            </w:r>
            <w:r>
              <w:rPr>
                <w:vertAlign w:val="subscript"/>
                <w:bCs/>
                <w:b/>
              </w:rPr>
              <w:t xml:space="preserve">c2</w:t>
            </w:r>
          </w:p>
        </w:tc>
        <w:tc>
          <w:tcPr/>
          <w:p>
            <w:pPr>
              <w:pStyle w:val="Compact"/>
              <w:jc w:val="left"/>
            </w:pPr>
            <w:r>
              <w:rPr>
                <w:bCs/>
                <w:b/>
              </w:rPr>
              <w:t xml:space="preserve">Total</w:t>
            </w:r>
            <w:r>
              <w:rPr>
                <w:bCs/>
                <w:b/>
              </w:rPr>
              <w:t xml:space="preserve"> </w:t>
            </w:r>
            <w:r>
              <w:rPr>
                <w:bCs/>
                <w:b/>
              </w:rPr>
              <w:t xml:space="preserve">J</w:t>
            </w:r>
            <w:r>
              <w:rPr>
                <w:vertAlign w:val="subscript"/>
                <w:bCs/>
                <w:b/>
              </w:rPr>
              <w:t xml:space="preserve">c</w:t>
            </w:r>
            <w:r>
              <w:rPr>
                <w:bCs/>
                <w:b/>
              </w:rPr>
              <w:t xml:space="preserve"> </w:t>
            </w:r>
            <w:r>
              <w:rPr>
                <w:bCs/>
                <w:b/>
              </w:rPr>
              <w:t xml:space="preserve">points</w:t>
            </w:r>
          </w:p>
        </w:tc>
      </w:tr>
      <w:tr>
        <w:tc>
          <w:tcPr/>
          <w:p>
            <w:pPr>
              <w:pStyle w:val="Compact"/>
              <w:jc w:val="left"/>
            </w:pPr>
            <w:r>
              <w:t>MgB2-class</w:t>
            </w:r>
            <w:r/>
            <w:r/>
          </w:p>
        </w:tc>
        <w:tc>
          <w:tcPr/>
          <w:p>
            <w:pPr>
              <w:pStyle w:val="Compact"/>
              <w:jc w:val="left"/>
            </w:pPr>
            <w:r>
              <w:t>4</w:t>
            </w:r>
          </w:p>
        </w:tc>
        <w:tc>
          <w:tcPr/>
          <w:p>
            <w:pPr>
              <w:pStyle w:val="Compact"/>
              <w:jc w:val="left"/>
            </w:pPr>
            <w:r>
              <w:t>3</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w:t>
            </w:r>
          </w:p>
        </w:tc>
        <w:tc>
          <w:tcPr/>
          <w:p>
            <w:pPr>
              <w:pStyle w:val="Compact"/>
              <w:jc w:val="left"/>
            </w:pPr>
            <w:r>
              <w:t>4</w:t>
            </w:r>
          </w:p>
        </w:tc>
        <w:tc>
          <w:tcPr/>
          <w:p>
            <w:pPr>
              <w:pStyle w:val="Compact"/>
              <w:jc w:val="left"/>
            </w:pPr>
            <w:r>
              <w:t>267</w:t>
            </w:r>
          </w:p>
        </w:tc>
      </w:tr>
      <w:tr>
        <w:tc>
          <w:tcPr/>
          <w:p>
            <w:pPr>
              <w:pStyle w:val="Compact"/>
              <w:jc w:val="left"/>
            </w:pPr>
            <w:r>
              <w:t>cuprate BSCCO</w:t>
            </w:r>
            <w:r/>
            <w:r/>
          </w:p>
        </w:tc>
        <w:tc>
          <w:tcPr/>
          <w:p>
            <w:pPr>
              <w:pStyle w:val="Compact"/>
              <w:jc w:val="left"/>
            </w:pPr>
            <w:r>
              <w:t>3</w:t>
            </w:r>
          </w:p>
        </w:tc>
        <w:tc>
          <w:tcPr/>
          <w:p>
            <w:pPr>
              <w:pStyle w:val="Compact"/>
              <w:jc w:val="left"/>
            </w:pPr>
            <w:r>
              <w:t>0</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152</w:t>
            </w:r>
          </w:p>
        </w:tc>
      </w:tr>
      <w:tr>
        <w:tc>
          <w:tcPr/>
          <w:p>
            <w:pPr>
              <w:pStyle w:val="Compact"/>
              <w:jc w:val="left"/>
            </w:pPr>
            <w:r>
              <w:t>cuprate LSCO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48</w:t>
            </w:r>
          </w:p>
        </w:tc>
      </w:tr>
      <w:tr>
        <w:tc>
          <w:tcPr/>
          <w:p>
            <w:pPr>
              <w:pStyle w:val="Compact"/>
              <w:jc w:val="left"/>
            </w:pPr>
            <w:r>
              <w:t>cuprate RBCO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21</w:t>
            </w:r>
          </w:p>
        </w:tc>
      </w:tr>
      <w:tr>
        <w:tc>
          <w:tcPr/>
          <w:p>
            <w:pPr>
              <w:pStyle w:val="Compact"/>
              <w:jc w:val="left"/>
            </w:pPr>
            <w:r>
              <w:t>iron chalcogenide 11</w:t>
            </w:r>
          </w:p>
        </w:tc>
        <w:tc>
          <w:tcPr/>
          <w:p>
            <w:pPr>
              <w:pStyle w:val="Compact"/>
              <w:jc w:val="left"/>
            </w:pPr>
            <w:r>
              <w:t>16</w:t>
            </w:r>
          </w:p>
        </w:tc>
        <w:tc>
          <w:tcPr/>
          <w:p>
            <w:pPr>
              <w:pStyle w:val="Compact"/>
              <w:jc w:val="left"/>
            </w:pPr>
            <w:r>
              <w:t>6</w:t>
            </w:r>
          </w:p>
        </w:tc>
        <w:tc>
          <w:tcPr/>
          <w:p>
            <w:pPr>
              <w:pStyle w:val="Compact"/>
              <w:jc w:val="left"/>
            </w:pPr>
            <w:r>
              <w:t>2</w:t>
            </w:r>
          </w:p>
        </w:tc>
        <w:tc>
          <w:tcPr/>
          <w:p>
            <w:pPr>
              <w:pStyle w:val="Compact"/>
              <w:jc w:val="left"/>
            </w:pPr>
            <w:r>
              <w:t>8</w:t>
            </w:r>
          </w:p>
        </w:tc>
        <w:tc>
          <w:tcPr/>
          <w:p>
            <w:pPr>
              <w:pStyle w:val="Compact"/>
              <w:jc w:val="left"/>
            </w:pPr>
            <w:r>
              <w:t>0</w:t>
            </w:r>
          </w:p>
        </w:tc>
        <w:tc>
          <w:tcPr/>
          <w:p>
            <w:pPr>
              <w:pStyle w:val="Compact"/>
              <w:jc w:val="left"/>
            </w:pPr>
            <w:r>
              <w:t>10</w:t>
            </w:r>
          </w:p>
        </w:tc>
        <w:tc>
          <w:tcPr/>
          <w:p>
            <w:pPr>
              <w:pStyle w:val="Compact"/>
              <w:jc w:val="left"/>
            </w:pPr>
            <w:r>
              <w:t>3</w:t>
            </w:r>
          </w:p>
        </w:tc>
        <w:tc>
          <w:tcPr/>
          <w:p>
            <w:pPr>
              <w:pStyle w:val="Compact"/>
              <w:jc w:val="left"/>
            </w:pPr>
            <w:r>
              <w:t>889</w:t>
            </w:r>
          </w:p>
        </w:tc>
      </w:tr>
      <w:tr>
        <w:tc>
          <w:tcPr/>
          <w:p>
            <w:pPr>
              <w:pStyle w:val="Compact"/>
              <w:jc w:val="left"/>
            </w:pPr>
            <w:r>
              <w:t>iron pnictide 111</w:t>
            </w:r>
            <w:r/>
            <w:r/>
          </w:p>
        </w:tc>
        <w:tc>
          <w:tcPr/>
          <w:p>
            <w:pPr>
              <w:pStyle w:val="Compact"/>
              <w:jc w:val="left"/>
            </w:pPr>
            <w:r>
              <w:t>1</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55</w:t>
            </w:r>
          </w:p>
        </w:tc>
      </w:tr>
      <w:tr>
        <w:tc>
          <w:tcPr/>
          <w:p>
            <w:pPr>
              <w:pStyle w:val="Compact"/>
              <w:jc w:val="left"/>
            </w:pPr>
            <w:r>
              <w:t>iron pnictide 1111</w:t>
            </w:r>
          </w:p>
        </w:tc>
        <w:tc>
          <w:tcPr/>
          <w:p>
            <w:pPr>
              <w:pStyle w:val="Compact"/>
              <w:jc w:val="left"/>
            </w:pPr>
            <w:r>
              <w:t>10</w:t>
            </w:r>
          </w:p>
        </w:tc>
        <w:tc>
          <w:tcPr/>
          <w:p>
            <w:pPr>
              <w:pStyle w:val="Compact"/>
              <w:jc w:val="left"/>
            </w:pPr>
            <w:r>
              <w:t>4</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9</w:t>
            </w:r>
          </w:p>
        </w:tc>
        <w:tc>
          <w:tcPr/>
          <w:p>
            <w:pPr>
              <w:pStyle w:val="Compact"/>
              <w:jc w:val="left"/>
            </w:pPr>
            <w:r>
              <w:t>2</w:t>
            </w:r>
          </w:p>
        </w:tc>
        <w:tc>
          <w:tcPr/>
          <w:p>
            <w:pPr>
              <w:pStyle w:val="Compact"/>
              <w:jc w:val="left"/>
            </w:pPr>
            <w:r>
              <w:t>1008</w:t>
            </w:r>
          </w:p>
        </w:tc>
      </w:tr>
      <w:tr>
        <w:tc>
          <w:tcPr/>
          <w:p>
            <w:pPr>
              <w:pStyle w:val="Compact"/>
              <w:jc w:val="left"/>
            </w:pPr>
            <w:r>
              <w:t>iron pnictide 122</w:t>
            </w:r>
          </w:p>
        </w:tc>
        <w:tc>
          <w:tcPr/>
          <w:p>
            <w:pPr>
              <w:pStyle w:val="Compact"/>
              <w:jc w:val="left"/>
            </w:pPr>
            <w:r>
              <w:t>14</w:t>
            </w:r>
          </w:p>
        </w:tc>
        <w:tc>
          <w:tcPr/>
          <w:p>
            <w:pPr>
              <w:pStyle w:val="Compact"/>
              <w:jc w:val="left"/>
            </w:pPr>
            <w:r>
              <w:t>7</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8</w:t>
            </w:r>
          </w:p>
        </w:tc>
        <w:tc>
          <w:tcPr/>
          <w:p>
            <w:pPr>
              <w:pStyle w:val="Compact"/>
              <w:jc w:val="left"/>
            </w:pPr>
            <w:r>
              <w:t>4</w:t>
            </w:r>
          </w:p>
        </w:tc>
        <w:tc>
          <w:tcPr/>
          <w:p>
            <w:pPr>
              <w:pStyle w:val="Compact"/>
              <w:jc w:val="left"/>
            </w:pPr>
            <w:r>
              <w:t>863</w:t>
            </w:r>
          </w:p>
        </w:tc>
      </w:tr>
      <w:tr>
        <w:tc>
          <w:tcPr/>
          <w:p>
            <w:pPr>
              <w:pStyle w:val="Compact"/>
              <w:jc w:val="left"/>
            </w:pPr>
            <w:r>
              <w:t>TOTAL</w:t>
            </w:r>
          </w:p>
        </w:tc>
        <w:tc>
          <w:tcPr/>
          <w:p>
            <w:pPr>
              <w:pStyle w:val="Compact"/>
              <w:jc w:val="left"/>
            </w:pPr>
            <w:r>
              <w:t>50</w:t>
            </w:r>
          </w:p>
        </w:tc>
        <w:tc>
          <w:tcPr/>
          <w:p>
            <w:pPr>
              <w:pStyle w:val="Compact"/>
              <w:jc w:val="left"/>
            </w:pPr>
            <w:r>
              <w:t>21</w:t>
            </w:r>
          </w:p>
        </w:tc>
        <w:tc>
          <w:tcPr/>
          <w:p>
            <w:pPr>
              <w:pStyle w:val="Compact"/>
              <w:jc w:val="left"/>
            </w:pPr>
            <w:r>
              <w:t>2</w:t>
            </w:r>
          </w:p>
        </w:tc>
        <w:tc>
          <w:tcPr/>
          <w:p>
            <w:pPr>
              <w:pStyle w:val="Compact"/>
              <w:jc w:val="left"/>
            </w:pPr>
            <w:r>
              <w:t>28</w:t>
            </w:r>
          </w:p>
        </w:tc>
        <w:tc>
          <w:tcPr/>
          <w:p>
            <w:pPr>
              <w:pStyle w:val="Compact"/>
              <w:jc w:val="left"/>
            </w:pPr>
            <w:r>
              <w:t>0</w:t>
            </w:r>
          </w:p>
        </w:tc>
        <w:tc>
          <w:tcPr/>
          <w:p>
            <w:pPr>
              <w:pStyle w:val="Compact"/>
              <w:jc w:val="left"/>
            </w:pPr>
            <w:r>
              <w:t>35</w:t>
            </w:r>
          </w:p>
        </w:tc>
        <w:tc>
          <w:tcPr/>
          <w:p>
            <w:pPr>
              <w:pStyle w:val="Compact"/>
              <w:jc w:val="left"/>
            </w:pPr>
            <w:r>
              <w:t>13</w:t>
            </w:r>
          </w:p>
        </w:tc>
        <w:tc>
          <w:tcPr/>
          <w:p>
            <w:pPr>
              <w:pStyle w:val="Compact"/>
              <w:jc w:val="left"/>
            </w:pPr>
            <w:r>
              <w:t>3303</w:t>
            </w:r>
          </w:p>
        </w:tc>
      </w:tr>
    </w:tbl>
    <w:p>
      <w:pPr>
        <w:pStyle w:val="BodyText"/>
      </w:pPr>
      <w:r>
        <w:rPr>
          <w:bCs/>
          <w:b/>
        </w:rPr>
        <w:t xml:space="preserve">12. Prediction-scope sensitivity</w:t>
      </w:r>
    </w:p>
    <w:p>
      <w:pPr>
        <w:pStyle w:val="BodyText"/>
      </w:pPr>
      <w:r>
        <w:t xml:space="preserve">The scope-sensitivity analysis compares the committed prediction scope</w:t>
      </w:r>
      <w:r>
        <w:t xml:space="preserve"> </w:t>
      </w:r>
      <w:r>
        <w:t xml:space="preserve">with a substructure-aggregate fallback at the reference point T = 4.2 K</w:t>
      </w:r>
      <w:r>
        <w:t xml:space="preserve"> </w:t>
      </w:r>
      <w:r>
        <w:t xml:space="preserve">and H = 1 T. For the 11-type iron chalcogenide, 53 non-refused</w:t>
      </w:r>
      <w:r>
        <w:t xml:space="preserve"> </w:t>
      </w:r>
      <w:r>
        <w:t xml:space="preserve">candidates are evaluated. The median committed-minus-aggregate shift is</w:t>
      </w:r>
      <w:r>
        <w:t xml:space="preserve"> </w:t>
      </w:r>
      <w:r>
        <w:t xml:space="preserve">−0.0003 dex, with an interquartile range of [−0.0007, −0.0003] dex.</w:t>
      </w:r>
      <w:r>
        <w:t xml:space="preserve"> </w:t>
      </w:r>
      <w:r>
        <w:t xml:space="preserve">For the 122-type iron pnictide, 37 non-refused candidates are evaluated.</w:t>
      </w:r>
      <w:r>
        <w:t xml:space="preserve"> </w:t>
      </w:r>
      <w:r>
        <w:t xml:space="preserve">The median shift is −0.018 dex, with an interquartile range of [−0.018,</w:t>
      </w:r>
      <w:r>
        <w:t xml:space="preserve"> </w:t>
      </w:r>
      <w:r>
        <w:t xml:space="preserve">−0.018] dex. The MgB</w:t>
      </w:r>
      <w:r>
        <w:rPr>
          <w:vertAlign w:val="subscript"/>
        </w:rPr>
        <w:t xml:space="preserve">2</w:t>
      </w:r>
      <w:r>
        <w:t xml:space="preserve"> </w:t>
      </w:r>
      <w:r>
        <w:t xml:space="preserve">class is omitted from this comparison because</w:t>
      </w:r>
      <w:r>
        <w:t xml:space="preserve"> </w:t>
      </w:r>
      <w:r>
        <w:t xml:space="preserve">its committed prediction scope is already a substructure aggregate.</w:t>
      </w:r>
    </w:p>
    <w:p>
      <w:pPr>
        <w:pStyle w:val="BodyText"/>
      </w:pPr>
      <w:r>
        <w:t>These shifts are much smaller than the median bootstrap confidence-interval width of 0.61 dex, a factor of about 4.1 in Jc</w:t>
      </w:r>
      <w:r/>
      <w:r/>
      <w:r>
        <w:rPr>
          <w:vertAlign w:val="subscript"/>
        </w:rPr>
      </w:r>
      <w:r>
        <w:t>. For the 11-type iron</w:t>
      </w:r>
      <w:r>
        <w:t xml:space="preserve"> </w:t>
      </w:r>
      <w:r>
        <w:t xml:space="preserve">chalcogenide, the negligible shift reflects the current cohort</w:t>
      </w:r>
      <w:r>
        <w:t xml:space="preserve"> </w:t>
      </w:r>
      <w:r>
        <w:t xml:space="preserve">composition: the single-crystal cell dominates the Cohort B fits that</w:t>
      </w:r>
      <w:r>
        <w:t xml:space="preserve"> </w:t>
      </w:r>
      <w:r>
        <w:t xml:space="preserve">pass the physicality checks. For iron pnictide 122-type, the committed</w:t>
      </w:r>
      <w:r>
        <w:t xml:space="preserve"> </w:t>
      </w:r>
      <w:r>
        <w:t xml:space="preserve">rule gives a slightly more conservative prediction than the pooled</w:t>
      </w:r>
      <w:r>
        <w:t xml:space="preserve"> </w:t>
      </w:r>
      <w:r>
        <w:t xml:space="preserve">substructure-aggregate rule, with a downward shift of about 18 millidex.</w:t>
      </w:r>
      <w:r>
        <w:t xml:space="preserve"> </w:t>
      </w:r>
      <w:r>
        <w:t xml:space="preserve">The committed-scope predictions are therefore retained as the headline</w:t>
      </w:r>
      <w:r>
        <w:t xml:space="preserve"> </w:t>
      </w:r>
      <w:r>
        <w:t xml:space="preserve">values because they meet the variance-decomposition diagnostic and</w:t>
      </w:r>
      <w:r>
        <w:t xml:space="preserve"> </w:t>
      </w:r>
      <w:r>
        <w:t xml:space="preserve">produce changes that remain well below the calibrated uncertainty scale.</w:t>
      </w:r>
    </w:p>
    <w:p>
      <w:pPr>
        <w:pStyle w:val="BodyText"/>
      </w:pPr>
      <w:r>
        <w:rPr>
          <w:bCs/>
          <w:b/>
        </w:rPr>
        <w:t xml:space="preserve">13. Critical-field provenance audit</w:t>
      </w:r>
    </w:p>
    <w:p>
      <w:pPr>
        <w:pStyle w:val="BodyText"/>
      </w:pPr>
      <w:r>
        <w:t xml:space="preserve">This section reports the audit summarized in Section III.F of the main text. It is</w:t>
      </w:r>
      <w:r>
        <w:t xml:space="preserve"> </w:t>
      </w:r>
      <w:r>
        <w:t xml:space="preserve">included here because the referee reports asked to see the underlying data, and because</w:t>
      </w:r>
      <w:r>
        <w:t xml:space="preserve"> </w:t>
      </w:r>
      <w:r>
        <w:t xml:space="preserve">every field-axis result in the paper is conditional on it.</w:t>
      </w:r>
    </w:p>
    <w:p>
      <w:pPr>
        <w:pStyle w:val="BodyText"/>
      </w:pPr>
      <w:r>
        <w:rPr>
          <w:iCs/>
          <w:i/>
        </w:rPr>
        <w:t xml:space="preserve">Cross-model agreement gate.</w:t>
      </w:r>
      <w:r>
        <w:t xml:space="preserve"> </w:t>
      </w:r>
      <w:r>
        <w:t xml:space="preserve">Sixteen papers from the field-axis cohort were read</w:t>
      </w:r>
      <w:r>
        <w:t xml:space="preserve"> </w:t>
      </w:r>
      <w:r>
        <w:t xml:space="preserve">independently by two vision-language models of a later generation than the pair used for</w:t>
      </w:r>
      <w:r>
        <w:t xml:space="preserve"> </w:t>
      </w:r>
      <w:r>
        <w:t xml:space="preserve">extraction, at different scales within that generation. Each was prompted separately, without</w:t>
      </w:r>
      <w:r>
        <w:t xml:space="preserve"> </w:t>
      </w:r>
      <w:r>
        <w:t xml:space="preserve">access to the other’s output, and each was told that</w:t>
      </w:r>
      <w:r>
        <w:t xml:space="preserve"> </w:t>
      </w:r>
      <w:r>
        <w:t xml:space="preserve">“</w:t>
      </w:r>
      <w:r>
        <w:t xml:space="preserve">no such data in this paper</w:t>
      </w:r>
      <w:r>
        <w:t xml:space="preserve">”</w:t>
      </w:r>
      <w:r>
        <w:t xml:space="preserve"> </w:t>
      </w:r>
      <w:r>
        <w:t xml:space="preserve">is a correct</w:t>
      </w:r>
      <w:r>
        <w:t xml:space="preserve"> </w:t>
      </w:r>
      <w:r>
        <w:t xml:space="preserve">and expected answer. A value was admitted only where the two</w:t>
      </w:r>
      <w:r>
        <w:t xml:space="preserve"> </w:t>
      </w:r>
      <w:r>
        <w:t xml:space="preserve">agreed; disagreements were escalated to manual reading against the source figure.</w:t>
      </w:r>
    </w:p>
    <w:p>
      <w:pPr>
        <w:pStyle w:val="BodyText"/>
      </w:pPr>
      <w:r>
        <w:rPr>
          <w:iCs/>
          <w:i/>
        </w:rPr>
        <w:t xml:space="preserve">Result.</w:t>
      </w:r>
      <w:r>
        <w:t xml:space="preserve"> </w:t>
      </w:r>
      <w:r>
        <w:t xml:space="preserve">For eight of the sixteen papers, both models independently reported that the</w:t>
      </w:r>
      <w:r>
        <w:t xml:space="preserve"> </w:t>
      </w:r>
      <w:r>
        <w:t xml:space="preserve">paper contains no plot of critical field against temperature. The pipeline nonetheless</w:t>
      </w:r>
      <w:r>
        <w:t xml:space="preserve"> </w:t>
      </w:r>
      <w:r>
        <w:t xml:space="preserve">held extracted upper-critical-field values for all eight. The pipeline’s own provenance</w:t>
      </w:r>
      <w:r>
        <w:t xml:space="preserve"> </w:t>
      </w:r>
      <w:r>
        <w:t xml:space="preserve">notes name, in each case, a figure showing something else: a critical-current-versus-field</w:t>
      </w:r>
      <w:r>
        <w:t xml:space="preserve"> </w:t>
      </w:r>
      <w:r>
        <w:t xml:space="preserve">curve, a magnetization loop, a pinning-force curve, or a flux-relaxation curve. On such a</w:t>
      </w:r>
      <w:r>
        <w:t xml:space="preserve"> </w:t>
      </w:r>
      <w:r>
        <w:t xml:space="preserve">figure a critical field can appear only as a curve endpoint, which is bounded above by the</w:t>
      </w:r>
      <w:r>
        <w:t xml:space="preserve"> </w:t>
      </w:r>
      <w:r>
        <w:t xml:space="preserve">largest field the experimenters applied.</w:t>
      </w:r>
    </w:p>
    <w:p>
      <w:pPr>
        <w:pStyle w:val="BodyText"/>
      </w:pPr>
      <w:r>
        <w:rPr>
          <w:iCs/>
          <w:i/>
        </w:rPr>
        <w:t xml:space="preserve">Scale of the exposure.</w:t>
      </w:r>
      <w:r>
        <w:t xml:space="preserve"> </w:t>
      </w:r>
      <w:r>
        <w:t xml:space="preserve">Across the field-axis cohort the assigned scale barely exceeds the</w:t>
      </w:r>
      <w:r>
        <w:t xml:space="preserve"> </w:t>
      </w:r>
      <w:r>
        <w:t>largest field actually measured on the curve it anchors. The median ratio of measured maximum to assigned scale is 0.88, and for 11 of the 52 curves admitted by the stated fitting protocol it exceeds 0.9. On the cohort as published, before the anchor repairs, the same rule gave 0.80 and 15 of 94; the exposure rises rather than falls, from 16% of curves to 21%.</w:t>
      </w:r>
      <w:r/>
      <w:r>
        <w:t xml:space="preserve"> A scale read from the</w:t>
      </w:r>
      <w:r>
        <w:t xml:space="preserve"> </w:t>
      </w:r>
      <w:r>
        <w:t xml:space="preserve">endpoint of a field sweep behaves this way by construction, whereas an independently measured</w:t>
      </w:r>
      <w:r>
        <w:t xml:space="preserve"> </w:t>
      </w:r>
      <w:r>
        <w:t>upper critical field would not. Fifty-six of the 77 field-axis curves in the three dispatched families, 73%, take their scale from one of those eight papers.</w:t>
      </w:r>
      <w:r/>
      <w:r>
        <w:t xml:space="preserve"> Thirty of the 77 assigned scales are an irreversibility field or are unlabelled rather than a confirmed upper critical field.</w:t>
      </w:r>
      <w:r/>
      <w:r/>
    </w:p>
    <w:p>
      <w:pPr>
        <w:pStyle w:val="BodyText"/>
      </w:pPr>
      <w:r>
        <w:rPr>
          <w:iCs/>
          <w:i/>
        </w:rPr>
        <w:t xml:space="preserve">Two compounding defects.</w:t>
      </w:r>
      <w:r>
        <w:t xml:space="preserve"> </w:t>
      </w:r>
      <w:r>
        <w:t xml:space="preserve">The resolution routine returns the nearest series endpoint when</w:t>
      </w:r>
      <w:r>
        <w:t xml:space="preserve"> </w:t>
      </w:r>
      <w:r>
        <w:t xml:space="preserve">the requested temperature falls outside the measured range, rather than extrapolating.</w:t>
      </w:r>
      <w:r>
        <w:t xml:space="preserve"> </w:t>
      </w:r>
      <w:r>
        <w:t xml:space="preserve">Because critical fields are measured near the transition temperature while critical</w:t>
      </w:r>
      <w:r>
        <w:t xml:space="preserve"> </w:t>
      </w:r>
      <w:r>
        <w:t>currents are measured near 4.2 K, this underestimates the scale by a median factor of 6.7 across the 38 fits it affects.</w:t>
      </w:r>
      <w:r>
        <w:t xml:space="preserve"> </w:t>
      </w:r>
      <w:r>
        <w:t xml:space="preserve">Separately, a dual-model audit of the printed field-axis label on every</w:t>
      </w:r>
      <w:r>
        <w:t xml:space="preserve"> </w:t>
      </w:r>
      <w:r>
        <w:t xml:space="preserve">critical-current-versus-field figure found five papers in which kilo-oersted had been</w:t>
      </w:r>
      <w:r>
        <w:t xml:space="preserve"> </w:t>
      </w:r>
      <w:r>
        <w:t xml:space="preserve">recorded as tesla, a factor of ten. Two other papers printing kilo-oersted and gauss had</w:t>
      </w:r>
      <w:r>
        <w:t xml:space="preserve"> </w:t>
      </w:r>
      <w:r>
        <w:t xml:space="preserve">been converted correctly, so unit handling was not deterministic. The five affected papers</w:t>
      </w:r>
      <w:r>
        <w:t xml:space="preserve"> </w:t>
      </w:r>
      <w:r>
        <w:t xml:space="preserve">are corrected in the deposited data, restoring 188 rows across 21 field-axis fits.</w:t>
      </w:r>
    </w:p>
    <w:p>
      <w:pPr>
        <w:pStyle w:val="BodyText"/>
      </w:pPr>
      <w:r>
        <w:rPr>
          <w:iCs/>
          <w:i/>
        </w:rPr>
        <w:t xml:space="preserve">Effect of the correct criterion.</w:t>
      </w:r>
      <w:r>
        <w:t xml:space="preserve"> </w:t>
      </w:r>
      <w:r>
        <w:t xml:space="preserve">The applicability criterion of Eq. (1) of the main text</w:t>
      </w:r>
      <w:r>
        <w:t xml:space="preserve"> </w:t>
      </w:r>
      <w:r>
        <w:t xml:space="preserve">requires the measured field span to exceed 0.3 of the upper critical field. Evaluated</w:t>
      </w:r>
      <w:r>
        <w:t xml:space="preserve"> </w:t>
      </w:r>
      <w:r>
        <w:t xml:space="preserve">against the literature value of H</w:t>
      </w:r>
      <w:r>
        <w:rPr>
          <w:vertAlign w:val="subscript"/>
        </w:rPr>
        <w:t xml:space="preserve">c2,0</w:t>
      </w:r>
      <w:r>
        <w:t xml:space="preserve"> </w:t>
      </w:r>
      <w:r>
        <w:t>rather than the per-paper resolved quantity, 28 of 77 curves qualify where the pipeline admitted 77</w:t>
      </w:r>
      <w:r/>
      <w:r>
        <w:t>, and 13 qualify once the magnetic-field unit</w:t>
      </w:r>
      <w:r>
        <w:t xml:space="preserve"> </w:t>
      </w:r>
      <w:r>
        <w:t xml:space="preserve">corrections are also applied.</w:t>
      </w:r>
    </w:p>
    <w:p>
      <w:pPr>
        <w:pStyle w:val="BodyText"/>
      </w:pPr>
      <w:r>
        <w:rPr>
          <w:iCs/>
          <w:i/>
        </w:rPr>
        <w:t xml:space="preserve">What the corpus can supply.</w:t>
      </w:r>
      <w:r>
        <w:t xml:space="preserve"> </w:t>
      </w:r>
      <w:r>
        <w:t xml:space="preserve">A rebuild against a properly temperature-resolved critical</w:t>
      </w:r>
      <w:r>
        <w:t xml:space="preserve"> </w:t>
      </w:r>
      <w:r>
        <w:t xml:space="preserve">scale was attempted and could not be completed, for reasons that belong to the literature</w:t>
      </w:r>
      <w:r>
        <w:t xml:space="preserve"> </w:t>
      </w:r>
      <w:r>
        <w:t>rather than to the pipeline. A caption-scoped screen over the 2594 papers in the archive finds 137 whose figure captions</w:t>
      </w:r>
      <w:r>
        <w:t xml:space="preserve"> </w:t>
      </w:r>
      <w:r>
        <w:t xml:space="preserve">name both a critical field against temperature and a critical current against field, of which 117</w:t>
      </w:r>
      <w:r>
        <w:t xml:space="preserve"> </w:t>
      </w:r>
      <w:r>
        <w:t xml:space="preserve">are relevant to the three dispatched families. Caption presence is necessary but not sufficient:</w:t>
      </w:r>
      <w:r>
        <w:t xml:space="preserve"> </w:t>
      </w:r>
      <w:r>
        <w:t xml:space="preserve">usability turns on the measured field span, which can only be settled by reading the numbers.</w:t>
      </w:r>
      <w:r>
        <w:t xml:space="preserve"> </w:t>
      </w:r>
      <w:r>
        <w:t xml:space="preserve">Twenty-nine candidates, prioritized by family need, were read independently by two vision models</w:t>
      </w:r>
      <w:r>
        <w:t xml:space="preserve"> </w:t>
      </w:r>
      <w:r>
        <w:t xml:space="preserve">and assessed against the paper’s own span criterion. The per-paper screen output is deposited as</w:t>
      </w:r>
      <w:r>
        <w:t xml:space="preserve"> </w:t>
      </w:r>
      <w:r>
        <w:rPr>
          <w:rStyle w:val="VerbatimChar"/>
        </w:rPr>
        <w:t xml:space="preserve">data/caption_sweep.csv</w:t>
      </w:r>
      <w:r>
        <w:t xml:space="preserve"> </w:t>
      </w:r>
      <w:r>
        <w:t xml:space="preserve">in the public repository. Of those 29, four MgB</w:t>
      </w:r>
      <w:r>
        <w:rPr>
          <w:vertAlign w:val="subscript"/>
        </w:rPr>
        <w:t xml:space="preserve">2</w:t>
      </w:r>
      <w:r>
        <w:t xml:space="preserve">-class papers and two iron chalcogenide papers pass the span criterion,</w:t>
      </w:r>
      <w:r>
        <w:t xml:space="preserve"> </w:t>
      </w:r>
      <w:r>
        <w:t xml:space="preserve">one of the latter borderline, and no iron pnictide 122-type paper passes. The 122-type candidates</w:t>
      </w:r>
      <w:r>
        <w:t xml:space="preserve"> </w:t>
      </w:r>
      <w:r>
        <w:t xml:space="preserve">fail because the paper reports no critical field of its own, not because the span is narrow. Only</w:t>
      </w:r>
      <w:r>
        <w:t xml:space="preserve"> </w:t>
      </w:r>
      <w:r>
        <w:t xml:space="preserve">MgB</w:t>
      </w:r>
      <w:r>
        <w:rPr>
          <w:vertAlign w:val="subscript"/>
        </w:rPr>
        <w:t xml:space="preserve">2</w:t>
      </w:r>
      <w:r>
        <w:t xml:space="preserve">-class reaches the three-paper threshold set before the search, and it is the one dispatched</w:t>
      </w:r>
      <w:r>
        <w:t xml:space="preserve"> </w:t>
      </w:r>
      <w:r>
        <w:t xml:space="preserve">family whose field-axis validation was already the least strained; the family that needed the</w:t>
      </w:r>
      <w:r>
        <w:t xml:space="preserve"> </w:t>
      </w:r>
      <w:r>
        <w:t xml:space="preserve">evidence most, iron pnictide 122-type, yielded nothing. The scope of this exercise should</w:t>
      </w:r>
      <w:r>
        <w:t xml:space="preserve"> </w:t>
      </w:r>
      <w:r>
        <w:t xml:space="preserve">be stated plainly: it establishes that the readily reachable literature does not supply the needed</w:t>
      </w:r>
      <w:r>
        <w:t xml:space="preserve"> </w:t>
      </w:r>
      <w:r>
        <w:t xml:space="preserve">pairing, not that the remaining candidates contain none.</w:t>
      </w:r>
    </w:p>
    <w:p>
      <w:pPr>
        <w:pStyle w:val="BodyText"/>
      </w:pPr>
      <w:r>
        <w:rPr>
          <w:iCs/>
          <w:i/>
        </w:rPr>
        <w:t xml:space="preserve">Cross-paper pairing.</w:t>
      </w:r>
      <w:r>
        <w:t xml:space="preserve"> </w:t>
      </w:r>
      <w:r>
        <w:t xml:space="preserve">We tested whether a group’s critical-current paper could be paired</w:t>
      </w:r>
      <w:r>
        <w:t xml:space="preserve"> </w:t>
      </w:r>
      <w:r>
        <w:t xml:space="preserve">with the same group’s separate critical-field paper on the same material. Requiring a</w:t>
      </w:r>
      <w:r>
        <w:t xml:space="preserve"> </w:t>
      </w:r>
      <w:r>
        <w:t xml:space="preserve">shared compound and at least two shared author surnames returns no valid pairs across the</w:t>
      </w:r>
      <w:r>
        <w:t xml:space="preserve"> </w:t>
      </w:r>
      <w:r>
        <w:t xml:space="preserve">corpus. The single author-overlap case links two papers on the same material class but on</w:t>
      </w:r>
      <w:r>
        <w:t xml:space="preserve"> </w:t>
      </w:r>
      <w:r>
        <w:t xml:space="preserve">entirely different specimens. This is itself a result: the structure of this literature does</w:t>
      </w:r>
      <w:r>
        <w:t xml:space="preserve"> </w:t>
      </w:r>
      <w:r>
        <w:t xml:space="preserve">not support cross-paper record linkage for a process-sensitive property, which is the same</w:t>
      </w:r>
      <w:r>
        <w:t xml:space="preserve"> </w:t>
      </w:r>
      <w:r>
        <w:t xml:space="preserve">comparability principle the main text argues for, applied one level down.</w:t>
      </w:r>
    </w:p>
    <w:p>
      <w:pPr>
        <w:pStyle w:val="BodyText"/>
      </w:pPr>
      <w:r>
        <w:rPr>
          <w:bCs/>
          <w:b/>
        </w:rPr>
        <w:t xml:space="preserve">14. Glossary and compound-name mapping</w:t>
      </w:r>
    </w:p>
    <w:p>
      <w:pPr>
        <w:pStyle w:val="BodyText"/>
      </w:pPr>
      <w:r>
        <w:t xml:space="preserve">The vocabulary of this paper is drawn from two fields. This section gives the</w:t>
      </w:r>
      <w:r>
        <w:t xml:space="preserve"> </w:t>
      </w:r>
      <w:r>
        <w:t xml:space="preserve">superconductivity reading of each statistical term, and maps the reduced formulas carried</w:t>
      </w:r>
      <w:r>
        <w:t xml:space="preserve"> </w:t>
      </w:r>
      <w:r>
        <w:t xml:space="preserve">internally by the analysis pipeline to conventional superconductivity nomenclature.</w:t>
      </w:r>
    </w:p>
    <w:p>
      <w:pPr>
        <w:pStyle w:val="BodyText"/>
      </w:pPr>
      <w:r>
        <w:rPr>
          <w:bCs/>
          <w:b/>
        </w:rPr>
        <w:t xml:space="preserve">Table S2.</w:t>
      </w:r>
      <w:r>
        <w:t xml:space="preserve"> </w:t>
      </w:r>
      <w:r>
        <w:t xml:space="preserve">Statistical and pipeline vocabulary, with the corresponding</w:t>
      </w:r>
      <w:r>
        <w:t xml:space="preserve"> </w:t>
      </w:r>
      <w:r>
        <w:t xml:space="preserve">condensed-matter reading.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 as used here</w:t>
            </w:r>
          </w:p>
        </w:tc>
        <w:tc>
          <w:tcPr/>
          <w:p>
            <w:pPr>
              <w:pStyle w:val="Compact"/>
              <w:jc w:val="left"/>
            </w:pPr>
            <w:r>
              <w:t xml:space="preserve">Meaning</w:t>
            </w:r>
          </w:p>
        </w:tc>
        <w:tc>
          <w:tcPr/>
          <w:p>
            <w:pPr>
              <w:pStyle w:val="Compact"/>
              <w:jc w:val="left"/>
            </w:pPr>
            <w:r>
              <w:t xml:space="preserve">Condensed-matter reading</w:t>
            </w:r>
          </w:p>
        </w:tc>
      </w:tr>
      <w:tr>
        <w:tc>
          <w:tcPr/>
          <w:p>
            <w:pPr>
              <w:pStyle w:val="Compact"/>
              <w:jc w:val="left"/>
            </w:pPr>
            <w:r>
              <w:t xml:space="preserve">Anchor</w:t>
            </w:r>
          </w:p>
        </w:tc>
        <w:tc>
          <w:tcPr/>
          <w:p>
            <w:pPr>
              <w:pStyle w:val="Compact"/>
              <w:jc w:val="left"/>
            </w:pPr>
            <w:r>
              <w:t xml:space="preserve">The fitted intercept log</w:t>
            </w:r>
            <w:r>
              <w:rPr>
                <w:vertAlign w:val="subscript"/>
              </w:rPr>
              <w:t xml:space="preserve">10</w:t>
            </w:r>
            <w:r>
              <w:t xml:space="preserve"> </w:t>
            </w:r>
            <w:r>
              <w:t xml:space="preserve">J</w:t>
            </w:r>
            <w:r>
              <w:rPr>
                <w:vertAlign w:val="subscript"/>
              </w:rPr>
              <w:t xml:space="preserve">c,partial</w:t>
            </w:r>
            <w:r>
              <w:t xml:space="preserve"> </w:t>
            </w:r>
            <w:r>
              <w:t xml:space="preserve">of Eq. (2), the extrapolated critical current at zero reduced field or zero reduced temperature on the fitted axis</w:t>
            </w:r>
          </w:p>
        </w:tc>
        <w:tc>
          <w:tcPr/>
          <w:p>
            <w:pPr>
              <w:pStyle w:val="Compact"/>
              <w:jc w:val="left"/>
            </w:pPr>
            <w:r>
              <w:t xml:space="preserve">The pre-exponential factor of the power law</w:t>
            </w:r>
          </w:p>
        </w:tc>
      </w:tr>
      <w:tr>
        <w:tc>
          <w:tcPr/>
          <w:p>
            <w:pPr>
              <w:pStyle w:val="Compact"/>
              <w:jc w:val="left"/>
            </w:pPr>
            <w:r>
              <w:t xml:space="preserve">Scaling exponent</w:t>
            </w:r>
          </w:p>
        </w:tc>
        <w:tc>
          <w:tcPr/>
          <w:p>
            <w:pPr>
              <w:pStyle w:val="Compact"/>
              <w:jc w:val="left"/>
            </w:pPr>
            <w:r>
              <w:t xml:space="preserve">The fitted power β to which the reduced distance from a critical scale is raised</w:t>
            </w:r>
          </w:p>
        </w:tc>
        <w:tc>
          <w:tcPr/>
          <w:p>
            <w:pPr>
              <w:pStyle w:val="Compact"/>
              <w:jc w:val="left"/>
            </w:pPr>
            <w:r>
              <w:t xml:space="preserve">The exponent of a Kramer-type or Dew-Hughes-type scaling law; dimensionless</w:t>
            </w:r>
          </w:p>
        </w:tc>
      </w:tr>
      <w:tr>
        <w:tc>
          <w:tcPr/>
          <w:p>
            <w:pPr>
              <w:pStyle w:val="Compact"/>
              <w:jc w:val="left"/>
            </w:pPr>
            <w:r>
              <w:t xml:space="preserve">Substructure</w:t>
            </w:r>
          </w:p>
        </w:tc>
        <w:tc>
          <w:tcPr/>
          <w:p>
            <w:pPr>
              <w:pStyle w:val="Compact"/>
              <w:jc w:val="left"/>
            </w:pPr>
            <w:r>
              <w:t xml:space="preserve">A family of compounds sharing stoichiometry and crystal system</w:t>
            </w:r>
          </w:p>
        </w:tc>
        <w:tc>
          <w:tcPr/>
          <w:p>
            <w:pPr>
              <w:pStyle w:val="Compact"/>
              <w:jc w:val="left"/>
            </w:pPr>
            <w:r>
              <w:t xml:space="preserve">Material family, for example 122-type iron pnictide</w:t>
            </w:r>
          </w:p>
        </w:tc>
      </w:tr>
      <w:tr>
        <w:tc>
          <w:tcPr/>
          <w:p>
            <w:pPr>
              <w:pStyle w:val="Compact"/>
              <w:jc w:val="left"/>
            </w:pPr>
            <w:r>
              <w:t xml:space="preserve">Substructure aggregate</w:t>
            </w:r>
          </w:p>
        </w:tc>
        <w:tc>
          <w:tcPr/>
          <w:p>
            <w:pPr>
              <w:pStyle w:val="Compact"/>
              <w:jc w:val="left"/>
            </w:pPr>
            <w:r>
              <w:t xml:space="preserve">A prediction made from the median parameters of a whole family</w:t>
            </w:r>
          </w:p>
        </w:tc>
        <w:tc>
          <w:tcPr/>
          <w:p>
            <w:pPr>
              <w:pStyle w:val="Compact"/>
              <w:jc w:val="left"/>
            </w:pPr>
            <w:r>
              <w:t xml:space="preserve">A family-typical curve rather than a compound-specific one</w:t>
            </w:r>
          </w:p>
        </w:tc>
      </w:tr>
      <w:tr>
        <w:tc>
          <w:tcPr/>
          <w:p>
            <w:pPr>
              <w:pStyle w:val="Compact"/>
              <w:jc w:val="left"/>
            </w:pPr>
            <w:r>
              <w:t xml:space="preserve">Sample form</w:t>
            </w:r>
          </w:p>
        </w:tc>
        <w:tc>
          <w:tcPr/>
          <w:p>
            <w:pPr>
              <w:pStyle w:val="Compact"/>
              <w:jc w:val="left"/>
            </w:pPr>
            <w:r>
              <w:t xml:space="preserve">Single crystal, polycrystal, thin film, wire, tape, or bulk</w:t>
            </w:r>
          </w:p>
        </w:tc>
        <w:tc>
          <w:tcPr/>
          <w:p>
            <w:pPr>
              <w:pStyle w:val="Compact"/>
              <w:jc w:val="left"/>
            </w:pPr>
            <w:r>
              <w:t xml:space="preserve">Specimen geometry and processing route</w:t>
            </w:r>
          </w:p>
        </w:tc>
      </w:tr>
      <w:tr>
        <w:tc>
          <w:tcPr/>
          <w:p>
            <w:pPr>
              <w:pStyle w:val="Compact"/>
              <w:jc w:val="left"/>
            </w:pPr>
            <w:r>
              <w:t xml:space="preserve">Cell</w:t>
            </w:r>
          </w:p>
        </w:tc>
        <w:tc>
          <w:tcPr/>
          <w:p>
            <w:pPr>
              <w:pStyle w:val="Compact"/>
              <w:jc w:val="left"/>
            </w:pPr>
            <w:r>
              <w:t xml:space="preserve">The set of curves sharing a (substructure, sample form) pair</w:t>
            </w:r>
          </w:p>
        </w:tc>
        <w:tc>
          <w:tcPr/>
          <w:p>
            <w:pPr>
              <w:pStyle w:val="Compact"/>
              <w:jc w:val="left"/>
            </w:pPr>
            <w:r>
              <w:t xml:space="preserve">A group of comparable specimens</w:t>
            </w:r>
          </w:p>
        </w:tc>
      </w:tr>
      <w:tr>
        <w:tc>
          <w:tcPr/>
          <w:p>
            <w:pPr>
              <w:pStyle w:val="Compact"/>
              <w:jc w:val="left"/>
            </w:pPr>
            <w:r>
              <w:t xml:space="preserve">Provenance hierarchy</w:t>
            </w:r>
          </w:p>
        </w:tc>
        <w:tc>
          <w:tcPr/>
          <w:p>
            <w:pPr>
              <w:pStyle w:val="Compact"/>
              <w:jc w:val="left"/>
            </w:pPr>
            <w:r>
              <w:t xml:space="preserve">The ordered rule by which an anchor value is chosen, from paper-reported down to family reference</w:t>
            </w:r>
          </w:p>
        </w:tc>
        <w:tc>
          <w:tcPr/>
          <w:p>
            <w:pPr>
              <w:pStyle w:val="Compact"/>
              <w:jc w:val="left"/>
            </w:pPr>
            <w:r>
              <w:t xml:space="preserve">Source precedence for a quoted parameter</w:t>
            </w:r>
          </w:p>
        </w:tc>
      </w:tr>
      <w:tr>
        <w:tc>
          <w:tcPr/>
          <w:p>
            <w:pPr>
              <w:pStyle w:val="Compact"/>
              <w:jc w:val="left"/>
            </w:pPr>
            <w:r>
              <w:t xml:space="preserve">Dex</w:t>
            </w:r>
          </w:p>
        </w:tc>
        <w:tc>
          <w:tcPr/>
          <w:p>
            <w:pPr>
              <w:pStyle w:val="Compact"/>
              <w:jc w:val="left"/>
            </w:pPr>
            <w:r>
              <w:t xml:space="preserve">One decade on a base-ten logarithmic scale</w:t>
            </w:r>
          </w:p>
        </w:tc>
        <w:tc>
          <w:tcPr/>
          <w:p>
            <w:pPr>
              <w:pStyle w:val="Compact"/>
              <w:jc w:val="left"/>
            </w:pPr>
            <w:r>
              <w:t>A factor of ten; 0.30 dex is a factor of 2, and 0.61 dex is a factor of about 4.1</w:t>
            </w:r>
          </w:p>
        </w:tc>
      </w:tr>
      <w:tr>
        <w:tc>
          <w:tcPr/>
          <w:p>
            <w:pPr>
              <w:pStyle w:val="Compact"/>
              <w:jc w:val="left"/>
            </w:pPr>
            <w:r>
              <w:t xml:space="preserve">MAE</w:t>
            </w:r>
          </w:p>
        </w:tc>
        <w:tc>
          <w:tcPr/>
          <w:p>
            <w:pPr>
              <w:pStyle w:val="Compact"/>
              <w:jc w:val="left"/>
            </w:pPr>
            <w:r>
              <w:t xml:space="preserve">Mean absolute error</w:t>
            </w:r>
          </w:p>
        </w:tc>
        <w:tc>
          <w:tcPr/>
          <w:p>
            <w:pPr>
              <w:pStyle w:val="Compact"/>
              <w:jc w:val="left"/>
            </w:pPr>
            <w:r>
              <w:t xml:space="preserve">Mean of the absolute residuals</w:t>
            </w:r>
          </w:p>
        </w:tc>
      </w:tr>
      <w:tr>
        <w:tc>
          <w:tcPr/>
          <w:p>
            <w:pPr>
              <w:pStyle w:val="Compact"/>
              <w:jc w:val="left"/>
            </w:pPr>
            <w:r>
              <w:t xml:space="preserve">LOSO</w:t>
            </w:r>
          </w:p>
        </w:tc>
        <w:tc>
          <w:tcPr/>
          <w:p>
            <w:pPr>
              <w:pStyle w:val="Compact"/>
              <w:jc w:val="left"/>
            </w:pPr>
            <w:r>
              <w:t xml:space="preserve">Leave-one-substructure-out cross-validation</w:t>
            </w:r>
          </w:p>
        </w:tc>
        <w:tc>
          <w:tcPr/>
          <w:p>
            <w:pPr>
              <w:pStyle w:val="Compact"/>
              <w:jc w:val="left"/>
            </w:pPr>
            <w:r>
              <w:t xml:space="preserve">Hold out an entire material family, train on the rest, test on the held-out family</w:t>
            </w:r>
          </w:p>
        </w:tc>
      </w:tr>
      <w:tr>
        <w:tc>
          <w:tcPr/>
          <w:p>
            <w:pPr>
              <w:pStyle w:val="Compact"/>
              <w:jc w:val="left"/>
            </w:pPr>
            <w:r>
              <w:t xml:space="preserve">LOCO</w:t>
            </w:r>
          </w:p>
        </w:tc>
        <w:tc>
          <w:tcPr/>
          <w:p>
            <w:pPr>
              <w:pStyle w:val="Compact"/>
              <w:jc w:val="left"/>
            </w:pPr>
            <w:r>
              <w:t xml:space="preserve">Leave-one-compound-out cross-validation</w:t>
            </w:r>
          </w:p>
        </w:tc>
        <w:tc>
          <w:tcPr/>
          <w:p>
            <w:pPr>
              <w:pStyle w:val="Compact"/>
              <w:jc w:val="left"/>
            </w:pPr>
            <w:r>
              <w:t xml:space="preserve">Hold out one compound within a family</w:t>
            </w:r>
          </w:p>
        </w:tc>
      </w:tr>
      <w:tr>
        <w:tc>
          <w:tcPr/>
          <w:p>
            <w:pPr>
              <w:pStyle w:val="Compact"/>
              <w:jc w:val="left"/>
            </w:pPr>
            <w:r>
              <w:t xml:space="preserve">Eta-squared</w:t>
            </w:r>
          </w:p>
        </w:tc>
        <w:tc>
          <w:tcPr/>
          <w:p>
            <w:pPr>
              <w:pStyle w:val="Compact"/>
              <w:jc w:val="left"/>
            </w:pPr>
            <w:r>
              <w:t xml:space="preserve">Fraction of within-family variance in the anchor explained by sample form</w:t>
            </w:r>
          </w:p>
        </w:tc>
        <w:tc>
          <w:tcPr/>
          <w:p>
            <w:pPr>
              <w:pStyle w:val="Compact"/>
              <w:jc w:val="left"/>
            </w:pPr>
            <w:r>
              <w:t xml:space="preserve">Analysis-of-variance effect size, between zero and one</w:t>
            </w:r>
          </w:p>
        </w:tc>
      </w:tr>
      <w:tr>
        <w:tc>
          <w:tcPr/>
          <w:p>
            <w:pPr>
              <w:pStyle w:val="Compact"/>
              <w:jc w:val="left"/>
            </w:pPr>
            <w:r>
              <w:t xml:space="preserve">Refusal gate</w:t>
            </w:r>
          </w:p>
        </w:tc>
        <w:tc>
          <w:tcPr/>
          <w:p>
            <w:pPr>
              <w:pStyle w:val="Compact"/>
              <w:jc w:val="left"/>
            </w:pPr>
            <w:r>
              <w:t xml:space="preserve">A condition that must pass before a prediction is emitted</w:t>
            </w:r>
          </w:p>
        </w:tc>
        <w:tc>
          <w:tcPr/>
          <w:p>
            <w:pPr>
              <w:pStyle w:val="Compact"/>
              <w:jc w:val="left"/>
            </w:pPr>
            <w:r>
              <w:t xml:space="preserve">An explicit applicability limit</w:t>
            </w:r>
          </w:p>
        </w:tc>
      </w:tr>
    </w:tbl>
    <w:p>
      <w:pPr>
        <w:pStyle w:val="BodyText"/>
      </w:pPr>
      <w:r>
        <w:rPr>
          <w:bCs/>
          <w:b/>
        </w:rPr>
        <w:t xml:space="preserve">Table S3.</w:t>
      </w:r>
      <w:r>
        <w:t xml:space="preserve"> </w:t>
      </w:r>
      <w:r>
        <w:t xml:space="preserve">Materials Project reduced formulas carried by the analysis pipeline, mapped</w:t>
      </w:r>
      <w:r>
        <w:t xml:space="preserve"> </w:t>
      </w:r>
      <w:r>
        <w:t xml:space="preserve">to the conventional names used throughout the manuscript.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 formula</w:t>
            </w:r>
          </w:p>
        </w:tc>
        <w:tc>
          <w:tcPr/>
          <w:p>
            <w:pPr>
              <w:pStyle w:val="Compact"/>
              <w:jc w:val="left"/>
            </w:pPr>
            <w:r>
              <w:t xml:space="preserve">Conventional name</w:t>
            </w:r>
          </w:p>
        </w:tc>
      </w:tr>
      <w:tr>
        <w:tc>
          <w:tcPr/>
          <w:p>
            <w:pPr>
              <w:pStyle w:val="Compact"/>
              <w:jc w:val="left"/>
            </w:pPr>
            <w:r>
              <w:t xml:space="preserve">La</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LaFeAsO</w:t>
            </w:r>
          </w:p>
        </w:tc>
      </w:tr>
      <w:tr>
        <w:tc>
          <w:tcPr/>
          <w:p>
            <w:pPr>
              <w:pStyle w:val="Compact"/>
              <w:jc w:val="left"/>
            </w:pPr>
            <w:r>
              <w:t xml:space="preserve">Ba(FeAs)</w:t>
            </w:r>
            <w:r>
              <w:rPr>
                <w:vertAlign w:val="subscript"/>
              </w:rPr>
              <w:t xml:space="preserve">2</w:t>
            </w:r>
          </w:p>
        </w:tc>
        <w:tc>
          <w:tcPr/>
          <w:p>
            <w:pPr>
              <w:pStyle w:val="Compact"/>
              <w:jc w:val="left"/>
            </w:pPr>
            <w:r>
              <w:t xml:space="preserve">BaFe</w:t>
            </w:r>
            <w:r>
              <w:rPr>
                <w:vertAlign w:val="subscript"/>
              </w:rPr>
              <w:t xml:space="preserve">2</w:t>
            </w:r>
            <w:r>
              <w:t xml:space="preserve">As</w:t>
            </w:r>
            <w:r>
              <w:rPr>
                <w:vertAlign w:val="subscript"/>
              </w:rPr>
              <w:t xml:space="preserve">2</w:t>
            </w:r>
          </w:p>
        </w:tc>
      </w:tr>
      <w:tr>
        <w:tc>
          <w:tcPr/>
          <w:p>
            <w:pPr>
              <w:pStyle w:val="Compact"/>
              <w:jc w:val="left"/>
            </w:pPr>
            <w:r>
              <w:t xml:space="preserve">K(FeAs)</w:t>
            </w:r>
            <w:r>
              <w:rPr>
                <w:vertAlign w:val="subscript"/>
              </w:rPr>
              <w:t xml:space="preserve">2</w:t>
            </w:r>
          </w:p>
        </w:tc>
        <w:tc>
          <w:tcPr/>
          <w:p>
            <w:pPr>
              <w:pStyle w:val="Compact"/>
              <w:jc w:val="left"/>
            </w:pPr>
            <w:r>
              <w:t xml:space="preserve">KFe</w:t>
            </w:r>
            <w:r>
              <w:rPr>
                <w:vertAlign w:val="subscript"/>
              </w:rPr>
              <w:t xml:space="preserve">2</w:t>
            </w:r>
            <w:r>
              <w:t xml:space="preserve">As</w:t>
            </w:r>
            <w:r>
              <w:rPr>
                <w:vertAlign w:val="subscript"/>
              </w:rPr>
              <w:t xml:space="preserve">2</w:t>
            </w:r>
          </w:p>
        </w:tc>
      </w:tr>
      <w:tr>
        <w:tc>
          <w:tcPr/>
          <w:p>
            <w:pPr>
              <w:pStyle w:val="Compact"/>
              <w:jc w:val="left"/>
            </w:pPr>
            <w:r>
              <w:t xml:space="preserve">KBa(FeAs)</w:t>
            </w:r>
            <w:r>
              <w:rPr>
                <w:vertAlign w:val="subscript"/>
              </w:rPr>
              <w:t xml:space="preserve">4</w:t>
            </w:r>
          </w:p>
        </w:tc>
        <w:tc>
          <w:tcPr/>
          <w:p>
            <w:pPr>
              <w:pStyle w:val="Compact"/>
              <w:jc w:val="left"/>
            </w:pPr>
            <w:r>
              <w:t xml:space="preserve">(Ba,K)Fe</w:t>
            </w:r>
            <w:r>
              <w:rPr>
                <w:vertAlign w:val="subscript"/>
              </w:rPr>
              <w:t xml:space="preserve">2</w:t>
            </w:r>
            <w:r>
              <w:t xml:space="preserve">As</w:t>
            </w:r>
            <w:r>
              <w:rPr>
                <w:vertAlign w:val="subscript"/>
              </w:rPr>
              <w:t xml:space="preserve">2</w:t>
            </w:r>
          </w:p>
        </w:tc>
      </w:tr>
      <w:tr>
        <w:tc>
          <w:tcPr/>
          <w:p>
            <w:pPr>
              <w:pStyle w:val="Compact"/>
              <w:jc w:val="left"/>
            </w:pPr>
            <w:r>
              <w:t xml:space="preserve">Nd</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NdFeAsO</w:t>
            </w:r>
          </w:p>
        </w:tc>
      </w:tr>
      <w:tr>
        <w:tc>
          <w:tcPr/>
          <w:p>
            <w:pPr>
              <w:pStyle w:val="Compact"/>
              <w:jc w:val="left"/>
            </w:pPr>
            <w:r>
              <w:t xml:space="preserve">Pr</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PrFeAsO</w:t>
            </w:r>
          </w:p>
        </w:tc>
      </w:tr>
      <w:tr>
        <w:tc>
          <w:tcPr/>
          <w:p>
            <w:pPr>
              <w:pStyle w:val="Compact"/>
              <w:jc w:val="left"/>
            </w:pPr>
            <w:r>
              <w:t xml:space="preserve">Sm</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SmFeAsO</w:t>
            </w:r>
          </w:p>
        </w:tc>
      </w:tr>
      <w:tr>
        <w:tc>
          <w:tcPr/>
          <w:p>
            <w:pPr>
              <w:pStyle w:val="Compact"/>
              <w:jc w:val="left"/>
            </w:pPr>
            <w:r>
              <w:t xml:space="preserve">Fe</w:t>
            </w:r>
            <w:r>
              <w:rPr>
                <w:vertAlign w:val="subscript"/>
              </w:rPr>
              <w:t xml:space="preserve">2</w:t>
            </w:r>
            <w:r>
              <w:t xml:space="preserve">TeSe</w:t>
            </w:r>
          </w:p>
        </w:tc>
        <w:tc>
          <w:tcPr/>
          <w:p>
            <w:pPr>
              <w:pStyle w:val="Compact"/>
              <w:jc w:val="left"/>
            </w:pPr>
            <w:r>
              <w:t xml:space="preserve">FeTe</w:t>
            </w:r>
            <w:r>
              <w:rPr>
                <w:vertAlign w:val="subscript"/>
              </w:rPr>
              <w:t xml:space="preserve">0.5</w:t>
            </w:r>
            <w:r>
              <w:t xml:space="preserve">Se</w:t>
            </w:r>
            <w:r>
              <w:rPr>
                <w:vertAlign w:val="subscript"/>
              </w:rPr>
              <w:t xml:space="preserve">0.5</w:t>
            </w:r>
          </w:p>
        </w:tc>
      </w:tr>
      <w:tr>
        <w:tc>
          <w:tcPr/>
          <w:p>
            <w:pPr>
              <w:pStyle w:val="Compact"/>
              <w:jc w:val="left"/>
            </w:pPr>
            <w:r>
              <w:t xml:space="preserve">Fe</w:t>
            </w:r>
            <w:r>
              <w:rPr>
                <w:vertAlign w:val="subscript"/>
              </w:rPr>
              <w:t xml:space="preserve">9</w:t>
            </w:r>
            <w:r>
              <w:t xml:space="preserve">Se</w:t>
            </w:r>
            <w:r>
              <w:rPr>
                <w:vertAlign w:val="subscript"/>
              </w:rPr>
              <w:t xml:space="preserve">8</w:t>
            </w:r>
          </w:p>
        </w:tc>
        <w:tc>
          <w:tcPr/>
          <w:p>
            <w:pPr>
              <w:pStyle w:val="Compact"/>
              <w:jc w:val="left"/>
            </w:pPr>
            <w:r>
              <w:t xml:space="preserve">Fe</w:t>
            </w:r>
            <w:r>
              <w:rPr>
                <w:vertAlign w:val="subscript"/>
              </w:rPr>
              <w:t xml:space="preserve">1+x</w:t>
            </w:r>
            <w:r>
              <w:t xml:space="preserve">Se</w:t>
            </w:r>
          </w:p>
        </w:tc>
      </w:tr>
      <w:tr>
        <w:tc>
          <w:tcPr/>
          <w:p>
            <w:pPr>
              <w:pStyle w:val="Compact"/>
              <w:jc w:val="left"/>
            </w:pPr>
            <w:r>
              <w:t xml:space="preserve">SrLaCuO</w:t>
            </w:r>
            <w:r>
              <w:rPr>
                <w:vertAlign w:val="subscript"/>
              </w:rPr>
              <w:t xml:space="preserve">4</w:t>
            </w:r>
          </w:p>
        </w:tc>
        <w:tc>
          <w:tcPr/>
          <w:p>
            <w:pPr>
              <w:pStyle w:val="Compact"/>
              <w:jc w:val="left"/>
            </w:pPr>
            <w:r>
              <w:t xml:space="preserve">La</w:t>
            </w:r>
            <w:r>
              <w:rPr>
                <w:vertAlign w:val="subscript"/>
              </w:rPr>
              <w:t xml:space="preserve">2−x</w:t>
            </w:r>
            <w:r>
              <w:t xml:space="preserve">Sr</w:t>
            </w:r>
            <w:r>
              <w:rPr>
                <w:vertAlign w:val="subscript"/>
              </w:rPr>
              <w:t xml:space="preserve">x</w:t>
            </w:r>
            <w:r>
              <w:t xml:space="preserve">CuO</w:t>
            </w:r>
            <w:r>
              <w:rPr>
                <w:vertAlign w:val="subscript"/>
              </w:rPr>
              <w:t xml:space="preserve">4</w:t>
            </w:r>
            <w:r>
              <w:t xml:space="preserve"> </w:t>
            </w:r>
            <w:r>
              <w:t xml:space="preserve">(LSCO)</w:t>
            </w:r>
          </w:p>
        </w:tc>
      </w:tr>
      <w:tr>
        <w:tc>
          <w:tcPr/>
          <w:p>
            <w:pPr>
              <w:pStyle w:val="Compact"/>
              <w:jc w:val="left"/>
            </w:pP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(BiO</w:t>
            </w:r>
            <w:r>
              <w:rPr>
                <w:vertAlign w:val="subscript"/>
              </w:rPr>
              <w:t xml:space="preserve">5</w:t>
            </w:r>
            <w:r>
              <w:t xml:space="preserve">)</w:t>
            </w:r>
            <w:r>
              <w:rPr>
                <w:vertAlign w:val="subscript"/>
              </w:rPr>
              <w:t xml:space="preserve">2</w:t>
            </w:r>
          </w:p>
        </w:tc>
        <w:tc>
          <w:tcPr/>
          <w:p>
            <w:pPr>
              <w:pStyle w:val="Compact"/>
              <w:jc w:val="left"/>
            </w:pPr>
            <w:r>
              <w:t xml:space="preserve">Bi</w:t>
            </w:r>
            <w:r>
              <w:rPr>
                <w:vertAlign w:val="subscript"/>
              </w:rPr>
              <w:t xml:space="preserve">2</w:t>
            </w: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10</w:t>
            </w:r>
            <w:r>
              <w:t xml:space="preserve"> </w:t>
            </w:r>
            <w:r>
              <w:t xml:space="preserve">(Bi-2223)</w:t>
            </w:r>
          </w:p>
        </w:tc>
      </w:tr>
      <w:tr>
        <w:tc>
          <w:tcPr/>
          <w:p>
            <w:pPr>
              <w:pStyle w:val="Compact"/>
              <w:jc w:val="left"/>
            </w:pPr>
            <w:r>
              <w:t xml:space="preserve">BaCa</w:t>
            </w:r>
            <w:r>
              <w:rPr>
                <w:vertAlign w:val="subscript"/>
              </w:rPr>
              <w:t xml:space="preserve">2</w:t>
            </w:r>
            <w:r>
              <w:t xml:space="preserve">Cu</w:t>
            </w:r>
            <w:r>
              <w:rPr>
                <w:vertAlign w:val="subscript"/>
              </w:rPr>
              <w:t xml:space="preserve">3</w:t>
            </w:r>
            <w:r>
              <w:t xml:space="preserve">O</w:t>
            </w:r>
            <w:r>
              <w:rPr>
                <w:vertAlign w:val="subscript"/>
              </w:rPr>
              <w:t xml:space="preserve">5</w:t>
            </w:r>
          </w:p>
        </w:tc>
        <w:tc>
          <w:tcPr/>
          <w:p>
            <w:pPr>
              <w:pStyle w:val="Compact"/>
              <w:jc w:val="left"/>
            </w:pPr>
            <w:r>
              <w:t xml:space="preserve">Ba-Ca-Cu-O cuprate</w:t>
            </w:r>
          </w:p>
        </w:tc>
      </w:tr>
      <w:tr>
        <w:tc>
          <w:tcPr/>
          <w:p>
            <w:pPr>
              <w:pStyle w:val="Compact"/>
              <w:jc w:val="left"/>
            </w:pPr>
            <w:r>
              <w:t xml:space="preserve">KBa</w:t>
            </w:r>
            <w:r>
              <w:rPr>
                <w:vertAlign w:val="subscript"/>
              </w:rPr>
              <w:t xml:space="preserve">2</w:t>
            </w:r>
            <w:r>
              <w:t xml:space="preserve">Bi</w:t>
            </w:r>
            <w:r>
              <w:rPr>
                <w:vertAlign w:val="subscript"/>
              </w:rPr>
              <w:t xml:space="preserve">2</w:t>
            </w:r>
            <w:r>
              <w:t xml:space="preserve">O</w:t>
            </w:r>
            <w:r>
              <w:rPr>
                <w:vertAlign w:val="subscript"/>
              </w:rPr>
              <w:t xml:space="preserve">7</w:t>
            </w:r>
          </w:p>
        </w:tc>
        <w:tc>
          <w:tcPr/>
          <w:p>
            <w:pPr>
              <w:pStyle w:val="Compact"/>
              <w:jc w:val="left"/>
            </w:pPr>
            <w:r>
              <w:t xml:space="preserve">(Ba,K)BiO</w:t>
            </w:r>
            <w:r>
              <w:rPr>
                <w:vertAlign w:val="subscript"/>
              </w:rPr>
              <w:t xml:space="preserve">3</w:t>
            </w:r>
          </w:p>
        </w:tc>
      </w:tr>
      <w:tr>
        <w:tc>
          <w:tcPr/>
          <w:p>
            <w:pPr>
              <w:pStyle w:val="Compact"/>
              <w:jc w:val="left"/>
            </w:pPr>
            <w:r>
              <w:t xml:space="preserve">BaFeAs</w:t>
            </w:r>
            <w:r>
              <w:rPr>
                <w:vertAlign w:val="subscript"/>
              </w:rPr>
              <w:t xml:space="preserve">2</w:t>
            </w:r>
            <w:r>
              <w:t xml:space="preserve">Ru</w:t>
            </w:r>
          </w:p>
        </w:tc>
        <w:tc>
          <w:tcPr/>
          <w:p>
            <w:pPr>
              <w:pStyle w:val="Compact"/>
              <w:jc w:val="left"/>
            </w:pPr>
            <w:r>
              <w:t xml:space="preserve">BaFe</w:t>
            </w:r>
            <w:r>
              <w:rPr>
                <w:vertAlign w:val="subscript"/>
              </w:rPr>
              <w:t xml:space="preserve">2−x</w:t>
            </w:r>
            <w:r>
              <w:t xml:space="preserve">Ru</w:t>
            </w:r>
            <w:r>
              <w:rPr>
                <w:vertAlign w:val="subscript"/>
              </w:rPr>
              <w:t xml:space="preserve">x</w:t>
            </w:r>
            <w:r>
              <w:t xml:space="preserve">As</w:t>
            </w:r>
            <w:r>
              <w:rPr>
                <w:vertAlign w:val="subscript"/>
              </w:rPr>
              <w:t xml:space="preserve">2</w:t>
            </w:r>
          </w:p>
        </w:tc>
      </w:tr>
      <w:tr>
        <w:tc>
          <w:tcPr/>
          <w:p>
            <w:pPr>
              <w:pStyle w:val="Compact"/>
              <w:jc w:val="left"/>
            </w:pPr>
            <w:r>
              <w:t xml:space="preserve">Li</w:t>
            </w:r>
            <w:r>
              <w:rPr>
                <w:vertAlign w:val="subscript"/>
              </w:rPr>
              <w:t xml:space="preserve">2</w:t>
            </w:r>
            <w:r>
              <w:t xml:space="preserve">BPd</w:t>
            </w:r>
            <w:r>
              <w:rPr>
                <w:vertAlign w:val="subscript"/>
              </w:rPr>
              <w:t xml:space="preserve">3</w:t>
            </w:r>
          </w:p>
        </w:tc>
        <w:tc>
          <w:tcPr/>
          <w:p>
            <w:pPr>
              <w:pStyle w:val="Compact"/>
              <w:jc w:val="left"/>
            </w:pPr>
            <w:r>
              <w:t xml:space="preserve">LiPd</w:t>
            </w:r>
            <w:r>
              <w:rPr>
                <w:vertAlign w:val="subscript"/>
              </w:rPr>
              <w:t xml:space="preserve">2</w:t>
            </w:r>
            <w:r>
              <w:t xml:space="preserve">B (boride)</w:t>
            </w:r>
          </w:p>
        </w:tc>
      </w:tr>
      <w:tr>
        <w:tc>
          <w:tcPr/>
          <w:p>
            <w:pPr>
              <w:pStyle w:val="Compact"/>
              <w:jc w:val="left"/>
            </w:pPr>
            <w:r>
              <w:t xml:space="preserve">Ga</w:t>
            </w:r>
            <w:r>
              <w:rPr>
                <w:vertAlign w:val="subscript"/>
              </w:rPr>
              <w:t xml:space="preserve">41</w:t>
            </w:r>
            <w:r>
              <w:t xml:space="preserve">Mo</w:t>
            </w:r>
            <w:r>
              <w:rPr>
                <w:vertAlign w:val="subscript"/>
              </w:rPr>
              <w:t xml:space="preserve">8</w:t>
            </w:r>
          </w:p>
        </w:tc>
        <w:tc>
          <w:tcPr/>
          <w:p>
            <w:pPr>
              <w:pStyle w:val="Compact"/>
              <w:jc w:val="left"/>
            </w:pPr>
            <w:r>
              <w:t xml:space="preserve">Mo</w:t>
            </w:r>
            <w:r>
              <w:rPr>
                <w:vertAlign w:val="subscript"/>
              </w:rPr>
              <w:t xml:space="preserve">8</w:t>
            </w:r>
            <w:r>
              <w:t xml:space="preserve">Ga</w:t>
            </w:r>
            <w:r>
              <w:rPr>
                <w:vertAlign w:val="subscript"/>
              </w:rPr>
              <w:t xml:space="preserve">41</w:t>
            </w:r>
          </w:p>
        </w:tc>
      </w:tr>
      <w:tr>
        <w:tc>
          <w:tcPr/>
          <w:p>
            <w:pPr>
              <w:pStyle w:val="Compact"/>
              <w:jc w:val="left"/>
            </w:pPr>
            <w:r>
              <w:t xml:space="preserve">CeIn</w:t>
            </w:r>
            <w:r>
              <w:rPr>
                <w:vertAlign w:val="subscript"/>
              </w:rPr>
              <w:t xml:space="preserve">5</w:t>
            </w:r>
            <w:r>
              <w:t xml:space="preserve">Co</w:t>
            </w:r>
          </w:p>
        </w:tc>
        <w:tc>
          <w:tcPr/>
          <w:p>
            <w:pPr>
              <w:pStyle w:val="Compact"/>
              <w:jc w:val="left"/>
            </w:pPr>
            <w:r>
              <w:t xml:space="preserve">CeCoIn</w:t>
            </w:r>
            <w:r>
              <w:rPr>
                <w:vertAlign w:val="subscript"/>
              </w:rPr>
              <w:t xml:space="preserve">5</w:t>
            </w:r>
          </w:p>
        </w:tc>
      </w:tr>
      <w:tr>
        <w:tc>
          <w:tcPr/>
          <w:p>
            <w:pPr>
              <w:pStyle w:val="Compact"/>
              <w:jc w:val="left"/>
            </w:pPr>
            <w:r>
              <w:t xml:space="preserve">ScSiIr</w:t>
            </w:r>
          </w:p>
        </w:tc>
        <w:tc>
          <w:tcPr/>
          <w:p>
            <w:pPr>
              <w:pStyle w:val="Compact"/>
              <w:jc w:val="left"/>
            </w:pPr>
            <w:r>
              <w:t xml:space="preserve">ScIrSi</w:t>
            </w:r>
          </w:p>
        </w:tc>
      </w:tr>
    </w:tbl>
    <w:p>
      <w:pPr>
        <w:pStyle w:val="BodyText"/>
      </w:pPr>
      <w:r>
        <w:rPr>
          <w:bCs/>
          <w:b/>
        </w:rPr>
        <w:t xml:space="preserve">15. Worked examples from the deposited dataset</w:t>
      </w:r>
    </w:p>
    <w:p>
      <w:pPr>
        <w:pStyle w:val="BodyText"/>
      </w:pPr>
      <w:r>
        <w:t xml:space="preserve">Referee A asked for examples of the extracted data. This section reproduces verbatim rows from three of the deposited files so that the schema, the provenance labels, and the refusal accounting can be inspected without downloading the deposit, and Fig. S1 shows the curves behind three such records with the fit each one produced, so that the extraction, the fitting window and the fit can be checked against each other by eye. Its three panels are a retained record, a record whose fit runs to the applicability bound, and a withdrawn one.</w:t>
      </w:r>
      <w:r>
        <w:t xml:space="preserve"/>
      </w:r>
      <w:r>
        <w:t xml:space="preserve"/>
      </w:r>
      <w:r>
        <w:t xml:space="preserve"/>
      </w:r>
      <w:r>
        <w:t xml:space="preserve"/>
      </w:r>
      <w:r>
        <w:t xml:space="preserve"/>
      </w:r>
      <w:r>
        <w:t xml:space="preserve"> Every value below is copied unchanged from the file</w:t>
      </w:r>
      <w:r>
        <w:t xml:space="preserve"> </w:t>
      </w:r>
      <w:r>
        <w:t xml:space="preserve">named in the table heading. Compound formulas appear as the deposited files record them, which is a mixture of</w:t>
      </w:r>
      <w:r>
        <w:t xml:space="preserve"> </w:t>
      </w:r>
      <w:r>
        <w:t xml:space="preserve">Materials Project reduced forms and source-paper notation; Table S3 maps the reduced</w:t>
      </w:r>
      <w:r>
        <w:t xml:space="preserve"> </w:t>
      </w:r>
      <w:r>
        <w:t xml:space="preserve">forms that appear in the candidate tables, and is not a key to every string below.</w:t>
      </w:r>
    </w:p>
    <w:p>
      <w:r>
        <w:drawing>
          <wp:inline>
            <wp:extent cx="5943600" cy="2218386"/>
            <wp:docPr id="1" name="Picture 1"/>
            <wp:cNvGraphicFramePr>
              <a:graphicFrameLocks noChangeAspect="1"/>
            </wp:cNvGraphicFramePr>
            <a:graphic>
              <a:graphicData uri="http://schemas.openxmlformats.org/drawingml/2006/picture">
                <pic:pic>
                  <pic:nvPicPr>
                    <pic:cNvPr id="0" name="figure_S1_extraction_examples.png"/>
                    <pic:cNvPicPr/>
                  </pic:nvPicPr>
                  <pic:blipFill>
                    <a:blip r:embed="rId9"/>
                    <a:stretch>
                      <a:fillRect/>
                    </a:stretch>
                  </pic:blipFill>
                  <pic:spPr>
                    <a:xfrm>
                      <a:off x="0" y="0"/>
                      <a:ext cx="5943600" cy="2218386"/>
                    </a:xfrm>
                    <a:prstGeom prst="rect"/>
                  </pic:spPr>
                </pic:pic>
              </a:graphicData>
            </a:graphic>
          </wp:inline>
        </w:drawing>
      </w:r>
    </w:p>
    <w:p>
      <w:pPr>
        <w:pStyle w:val="BodyText"/>
      </w:pPr>
      <w:r>
        <w:t>FIG. S1. Three worked extraction-to-fit examples, one per outcome, drawn from the deposited extraction files under data/extraction_examples and from the deposited Form 3 fit table. Open circles are extracted points the fit did not use, filled circles the points it did, the shaded band the fitted field span, and the line the fit the paper reports rather than a refit. (a) Retained: FeTe0.59Se0.41 at 2 K from j.physc.2010.05.048, with a critical field resolved at the measurement temperature, a span of 0.571 of that scale and a field exponent of 0.107 with a standard error of 0.018. (b) At the applicability bound: Bi-2223 sample N1 at 10 K from j.jallcom.2013.04.183, seven points over 0 to 1.5 T against a literature 100 T scale, a span of 0.015, and a fit at the numerical ceiling of 30 with a standard error of 28.6, larger than the estimate. This is the failure mode Sec. III.F of the main text describes. (c) Withdrawn: FeTe0.61Se0.39 at 2 K from j.physc.2010.03.003, five points falling by exactly 0.500 dex each across field intervals of 4.5, 10, 10 and 25 T. A reading of a printed curve cannot produce a constant factor between points that is independent of how far the field moved, and this record is withdrawn on that ground. An earlier version of this figure used s41467-025-55880-4 for panel (b); that paper's field-axis fits are withdrawn, for the reason given in the deposit, and a live record of the same kind replaces it. Regenerated by analysis/manuscript_figure_s1_extraction_examples.py.</w:t>
      </w:r>
    </w:p>
    <w:p>
      <w:pPr>
        <w:pStyle w:val="BodyText"/>
      </w:pPr>
      <w:r>
        <w:rPr>
          <w:iCs/>
          <w:i/>
        </w:rPr>
        <w:t xml:space="preserve">Curve-level anchor records.</w:t>
      </w:r>
      <w:r>
        <w:t xml:space="preserve"> </w:t>
      </w:r>
      <w:r>
        <w:t xml:space="preserve">Table S4 is an excerpt from</w:t>
      </w:r>
      <w:r>
        <w:t xml:space="preserve"> </w:t>
      </w:r>
      <w:r>
        <w:rPr>
          <w:rStyle w:val="VerbatimChar"/>
        </w:rPr>
        <w:t>phase_3_p31_jc_anchor_per_paper.csv, the file behind the variance-decomposition diagnostic of Sec. III.A of the main text, which held 96 rows covering 60 physical samples and holds 70 after the anchor repairs of Sec. 14. One row is one isotherm record, a single sample from one paper at one measurement temperature. The excerpt is drawn from the 61 of those rows whose source paper is not withdrawn by any ledger, which is a stricter rule than the diagnostic applies and is used here because a worked example exists to be checked against its source.</w:t>
      </w:r>
      <w:r/>
      <w:r/>
      <w:r/>
      <w:r/>
      <w:r>
        <w:t xml:space="preserve"> Each row records one isotherm's anchor point, the temperature and field at which that measurement was taken, so the anchor involves no fitted exponent and no critical-field scale.</w:t>
      </w:r>
      <w:r/>
      <w:r/>
      <w:r/>
      <w:r>
        <w:t xml:space="preserve"> The four rows from jallcom.2013.04.183 show the processing spread the diagnostic is meant to detect: four bulk specimens of the same compound from the same paper, differing only in substitution level, span 0.15 dex, and the four from matchemphys.2023.128348 span 0.25 dex. No surviving paper shows the sample-form contrast this table was built to show. Of the 22 papers with anchor records after the withdrawals of Sec. 14, not one contributes more than a single sample form, so a within-paper comparison of forms cannot be drawn from any of them. That is the same limitation Sec. III.A reports for the diagnostic itself, visible here at the level of one table.</w:t>
      </w:r>
      <w:r/>
      <w:r/>
      <w:r/>
      <w:r>
        <w:rPr>
          <w:rStyle w:val="VerbatimChar"/>
        </w:rPr>
      </w:r>
      <w:r/>
      <w:r/>
      <w:r/>
      <w:r/>
      <w:r/>
      <w:r/>
      <w:r/>
      <w:r>
        <w:rPr>
          <w:rStyle w:val="VerbatimChar"/>
        </w:rPr>
      </w:r>
      <w:r/>
      <w:r/>
      <w:r/>
      <w:r/>
    </w:p>
    <w:p>
      <w:pPr>
        <w:pStyle w:val="BodyText"/>
      </w:pPr>
      <w:r>
        <w:rPr>
          <w:bCs/>
          <w:b/>
        </w:rPr>
        <w:t>Table S4. Excerpt from the per-paper critical-current anchor file, generated by analysis/build_supplement_tables.py.</w:t>
      </w:r>
      <w:r/>
      <w:r>
        <w:t xml:space="preserve"> Source papers are</w:t>
      </w:r>
      <w:r>
        <w:t xml:space="preserve"> </w:t>
      </w:r>
      <w:r>
        <w:t xml:space="preserve">identified by the distinctive part of the DOI, all under the 10.1016 prefix. The anchor point</w:t>
      </w:r>
      <w:r>
        <w:t xml:space="preserve"> </w:t>
      </w:r>
      <w:r>
        <w:t xml:space="preserve">is the lowest temperature and field at which that sample was measured; log</w:t>
      </w:r>
      <w:r>
        <w:rPr>
          <w:vertAlign w:val="subscript"/>
        </w:rPr>
        <w:t xml:space="preserve">10</w:t>
      </w:r>
      <w:r>
        <w:t xml:space="preserve"> </w:t>
      </w:r>
      <w:r>
        <w:rPr>
          <w:iCs/>
          <w:i/>
        </w:rPr>
        <w:t xml:space="preserve">J</w:t>
      </w:r>
      <w:r>
        <w:rPr>
          <w:vertAlign w:val="subscript"/>
          <w:iCs/>
          <w:i/>
        </w:rPr>
        <w:t xml:space="preserve">c</w:t>
      </w:r>
      <w:r>
        <w:t xml:space="preserve"> </w:t>
      </w:r>
      <w:r>
        <w:t xml:space="preserve">is the</w:t>
      </w:r>
      <w:r>
        <w:t xml:space="preserve"> </w:t>
      </w:r>
      <w:r>
        <w:t xml:space="preserve">quantity entering the variance decomposition, 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w:t>
      </w:r>
      <w:r>
        <w:t xml:space="preserve"> </w:t>
      </w:r>
      <w:r>
        <w:rPr>
          <w:iCs/>
          <w:i/>
        </w:rPr>
        <w:t xml:space="preserve">n</w:t>
      </w:r>
      <w:r>
        <w:t xml:space="preserve"> </w:t>
      </w:r>
      <w:r>
        <w:t xml:space="preserve">is the number of</w:t>
      </w:r>
      <w:r>
        <w:t xml:space="preserve"> </w:t>
      </w:r>
      <w:r>
        <w:t xml:space="preserve">extracted data points on the curve. Tier and substructure labels are omitted here for width</w:t>
      </w:r>
      <w:r>
        <w:t xml:space="preserve"> </w:t>
      </w:r>
      <w:r>
        <w:t xml:space="preserve">and are present in the deposited file.</w:t>
      </w:r>
    </w:p>
    <w:tbl>
      <w:tblPr>
        <w:tblStyle w:val="Table"/>
        <w:tblW w:type="pct" w:w="5000"/>
        <w:tblLook w:firstRow="1" w:lastRow="0" w:firstColumn="0" w:lastColumn="0" w:noHBand="0" w:noVBand="0" w:val="0020"/>
        <w:jc w:val="start"/>
      </w:tblPr>
      <w:tblGrid>
        <w:gridCol w:w="1427"/>
        <w:gridCol w:w="1427"/>
        <w:gridCol w:w="1141"/>
        <w:gridCol w:w="1070"/>
        <w:gridCol w:w="570"/>
        <w:gridCol w:w="1141"/>
        <w:gridCol w:w="713"/>
        <w:gridCol w:w="428"/>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t xml:space="preserve">Form</w:t>
            </w:r>
          </w:p>
        </w:tc>
        <w:tc>
          <w:tcPr/>
          <w:p>
            <w:pPr>
              <w:pStyle w:val="Compact"/>
              <w:jc w:val="left"/>
            </w:pPr>
            <w:r>
              <w:t xml:space="preserve">Sample</w:t>
            </w:r>
          </w:p>
        </w:tc>
        <w:tc>
          <w:tcPr/>
          <w:p>
            <w:pPr>
              <w:pStyle w:val="Compact"/>
              <w:jc w:val="right"/>
            </w:pPr>
            <w:r>
              <w:rPr>
                <w:iCs/>
                <w:i/>
              </w:rPr>
              <w:t xml:space="preserve">T</w:t>
            </w:r>
            <w:r>
              <w:rPr>
                <w:vertAlign w:val="subscript"/>
                <w:iCs/>
                <w:i/>
              </w:rPr>
              <w:t xml:space="preserve">c</w:t>
            </w:r>
          </w:p>
        </w:tc>
        <w:tc>
          <w:tcPr/>
          <w:p>
            <w:pPr>
              <w:pStyle w:val="Compact"/>
              <w:jc w:val="left"/>
            </w:pPr>
            <w:r>
              <w:t xml:space="preserve">Anchor point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right"/>
            </w:pPr>
            <w:r>
              <w:rPr>
                <w:iCs/>
                <w:i/>
              </w:rPr>
              <w:t xml:space="preserve">n</w:t>
            </w:r>
          </w:p>
        </w:tc>
      </w:tr>
      <w:tr>
        <w:tc>
          <w:tcPr/>
          <w:p>
            <w:pPr>
              <w:pStyle w:val="Compact"/>
              <w:jc w:val="left"/>
            </w:pPr>
            <w:r>
              <w:t>j.jallcom.2023.170146</w:t>
            </w:r>
          </w:p>
        </w:tc>
        <w:tc>
          <w:tcPr/>
          <w:p>
            <w:pPr>
              <w:pStyle w:val="Compact"/>
              <w:jc w:val="left"/>
            </w:pPr>
            <w:r>
              <w:t>MgB2</w:t>
            </w:r>
          </w:p>
        </w:tc>
        <w:tc>
          <w:tcPr/>
          <w:p>
            <w:pPr>
              <w:pStyle w:val="Compact"/>
              <w:jc w:val="left"/>
            </w:pPr>
            <w:r>
              <w:t>Bulk</w:t>
            </w:r>
          </w:p>
        </w:tc>
        <w:tc>
          <w:tcPr/>
          <w:p>
            <w:pPr>
              <w:pStyle w:val="Compact"/>
              <w:jc w:val="left"/>
            </w:pPr>
            <w:r>
              <w:t>MgB2_10K</w:t>
            </w:r>
          </w:p>
        </w:tc>
        <w:tc>
          <w:tcPr/>
          <w:p>
            <w:pPr>
              <w:pStyle w:val="Compact"/>
              <w:jc w:val="right"/>
            </w:pPr>
            <w:r>
              <w:t>39.0</w:t>
            </w:r>
          </w:p>
        </w:tc>
        <w:tc>
          <w:tcPr/>
          <w:p>
            <w:pPr>
              <w:pStyle w:val="Compact"/>
              <w:jc w:val="left"/>
            </w:pPr>
            <w:r>
              <w:t>10.0 K, 0.03 T</w:t>
            </w:r>
          </w:p>
        </w:tc>
        <w:tc>
          <w:tcPr/>
          <w:p>
            <w:pPr>
              <w:pStyle w:val="Compact"/>
              <w:jc w:val="right"/>
            </w:pPr>
            <w:r>
              <w:t>5.705</w:t>
            </w:r>
          </w:p>
        </w:tc>
        <w:tc>
          <w:tcPr/>
          <w:p>
            <w:pPr>
              <w:pStyle w:val="Compact"/>
              <w:jc w:val="right"/>
            </w:pPr>
            <w:r>
              <w:t>60</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N1</w:t>
            </w:r>
          </w:p>
        </w:tc>
        <w:tc>
          <w:tcPr/>
          <w:p>
            <w:pPr>
              <w:pStyle w:val="Compact"/>
              <w:jc w:val="right"/>
            </w:pPr>
            <w:r>
              <w:t>110.0</w:t>
            </w:r>
          </w:p>
        </w:tc>
        <w:tc>
          <w:tcPr/>
          <w:p>
            <w:pPr>
              <w:pStyle w:val="Compact"/>
              <w:jc w:val="left"/>
            </w:pPr>
            <w:r>
              <w:t>10.0 K, 0 T</w:t>
            </w:r>
          </w:p>
        </w:tc>
        <w:tc>
          <w:tcPr/>
          <w:p>
            <w:pPr>
              <w:pStyle w:val="Compact"/>
              <w:jc w:val="right"/>
            </w:pPr>
            <w:r>
              <w:t>4.903</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N2</w:t>
            </w:r>
          </w:p>
        </w:tc>
        <w:tc>
          <w:tcPr/>
          <w:p>
            <w:pPr>
              <w:pStyle w:val="Compact"/>
              <w:jc w:val="right"/>
            </w:pPr>
            <w:r>
              <w:t>110.0</w:t>
            </w:r>
          </w:p>
        </w:tc>
        <w:tc>
          <w:tcPr/>
          <w:p>
            <w:pPr>
              <w:pStyle w:val="Compact"/>
              <w:jc w:val="left"/>
            </w:pPr>
            <w:r>
              <w:t>10.0 K, 0 T</w:t>
            </w:r>
          </w:p>
        </w:tc>
        <w:tc>
          <w:tcPr/>
          <w:p>
            <w:pPr>
              <w:pStyle w:val="Compact"/>
              <w:jc w:val="right"/>
            </w:pPr>
            <w:r>
              <w:t>4.857</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N3</w:t>
            </w:r>
          </w:p>
        </w:tc>
        <w:tc>
          <w:tcPr/>
          <w:p>
            <w:pPr>
              <w:pStyle w:val="Compact"/>
              <w:jc w:val="right"/>
            </w:pPr>
            <w:r>
              <w:t>110.0</w:t>
            </w:r>
          </w:p>
        </w:tc>
        <w:tc>
          <w:tcPr/>
          <w:p>
            <w:pPr>
              <w:pStyle w:val="Compact"/>
              <w:jc w:val="left"/>
            </w:pPr>
            <w:r>
              <w:t>10.0 K, 0 T</w:t>
            </w:r>
          </w:p>
        </w:tc>
        <w:tc>
          <w:tcPr/>
          <w:p>
            <w:pPr>
              <w:pStyle w:val="Compact"/>
              <w:jc w:val="right"/>
            </w:pPr>
            <w:r>
              <w:t>4.806</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N4</w:t>
            </w:r>
          </w:p>
        </w:tc>
        <w:tc>
          <w:tcPr/>
          <w:p>
            <w:pPr>
              <w:pStyle w:val="Compact"/>
              <w:jc w:val="right"/>
            </w:pPr>
            <w:r>
              <w:t>110.0</w:t>
            </w:r>
          </w:p>
        </w:tc>
        <w:tc>
          <w:tcPr/>
          <w:p>
            <w:pPr>
              <w:pStyle w:val="Compact"/>
              <w:jc w:val="left"/>
            </w:pPr>
            <w:r>
              <w:t>10.0 K, 0 T</w:t>
            </w:r>
          </w:p>
        </w:tc>
        <w:tc>
          <w:tcPr/>
          <w:p>
            <w:pPr>
              <w:pStyle w:val="Compact"/>
              <w:jc w:val="right"/>
            </w:pPr>
            <w:r>
              <w:t>4.954</w:t>
            </w:r>
          </w:p>
        </w:tc>
        <w:tc>
          <w:tcPr/>
          <w:p>
            <w:pPr>
              <w:pStyle w:val="Compact"/>
              <w:jc w:val="right"/>
            </w:pPr>
            <w:r>
              <w:t>14</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LaFeAsO_10K</w:t>
            </w:r>
          </w:p>
        </w:tc>
        <w:tc>
          <w:tcPr/>
          <w:p>
            <w:pPr>
              <w:pStyle w:val="Compact"/>
              <w:jc w:val="right"/>
            </w:pPr>
            <w:r>
              <w:t>26.0</w:t>
            </w:r>
          </w:p>
        </w:tc>
        <w:tc>
          <w:tcPr/>
          <w:p>
            <w:pPr>
              <w:pStyle w:val="Compact"/>
              <w:jc w:val="left"/>
            </w:pPr>
            <w:r>
              <w:t>10.0 K, 0 T</w:t>
            </w:r>
          </w:p>
        </w:tc>
        <w:tc>
          <w:tcPr/>
          <w:p>
            <w:pPr>
              <w:pStyle w:val="Compact"/>
              <w:jc w:val="right"/>
            </w:pPr>
            <w:r>
              <w:t>5.674</w:t>
            </w:r>
          </w:p>
        </w:tc>
        <w:tc>
          <w:tcPr/>
          <w:p>
            <w:pPr>
              <w:pStyle w:val="Compact"/>
              <w:jc w:val="right"/>
            </w:pPr>
            <w:r>
              <w:t>2</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LaFeAsO_2K</w:t>
            </w:r>
          </w:p>
        </w:tc>
        <w:tc>
          <w:tcPr/>
          <w:p>
            <w:pPr>
              <w:pStyle w:val="Compact"/>
              <w:jc w:val="right"/>
            </w:pPr>
            <w:r>
              <w:t>26.0</w:t>
            </w:r>
          </w:p>
        </w:tc>
        <w:tc>
          <w:tcPr/>
          <w:p>
            <w:pPr>
              <w:pStyle w:val="Compact"/>
              <w:jc w:val="left"/>
            </w:pPr>
            <w:r>
              <w:t>2.0 K, 0.01 T</w:t>
            </w:r>
          </w:p>
        </w:tc>
        <w:tc>
          <w:tcPr/>
          <w:p>
            <w:pPr>
              <w:pStyle w:val="Compact"/>
              <w:jc w:val="right"/>
            </w:pPr>
            <w:r>
              <w:t>6.524</w:t>
            </w:r>
          </w:p>
        </w:tc>
        <w:tc>
          <w:tcPr/>
          <w:p>
            <w:pPr>
              <w:pStyle w:val="Compact"/>
              <w:jc w:val="right"/>
            </w:pPr>
            <w:r>
              <w:t>13</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LaFeAsO_5K</w:t>
            </w:r>
          </w:p>
        </w:tc>
        <w:tc>
          <w:tcPr/>
          <w:p>
            <w:pPr>
              <w:pStyle w:val="Compact"/>
              <w:jc w:val="right"/>
            </w:pPr>
            <w:r>
              <w:t>26.0</w:t>
            </w:r>
          </w:p>
        </w:tc>
        <w:tc>
          <w:tcPr/>
          <w:p>
            <w:pPr>
              <w:pStyle w:val="Compact"/>
              <w:jc w:val="left"/>
            </w:pPr>
            <w:r>
              <w:t>5.0 K, 0 T</w:t>
            </w:r>
          </w:p>
        </w:tc>
        <w:tc>
          <w:tcPr/>
          <w:p>
            <w:pPr>
              <w:pStyle w:val="Compact"/>
              <w:jc w:val="right"/>
            </w:pPr>
            <w:r>
              <w:t>6.184</w:t>
            </w:r>
          </w:p>
        </w:tc>
        <w:tc>
          <w:tcPr/>
          <w:p>
            <w:pPr>
              <w:pStyle w:val="Compact"/>
              <w:jc w:val="right"/>
            </w:pPr>
            <w:r>
              <w:t>7</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LaFeAsO_8K</w:t>
            </w:r>
          </w:p>
        </w:tc>
        <w:tc>
          <w:tcPr/>
          <w:p>
            <w:pPr>
              <w:pStyle w:val="Compact"/>
              <w:jc w:val="right"/>
            </w:pPr>
            <w:r>
              <w:t>26.0</w:t>
            </w:r>
          </w:p>
        </w:tc>
        <w:tc>
          <w:tcPr/>
          <w:p>
            <w:pPr>
              <w:pStyle w:val="Compact"/>
              <w:jc w:val="left"/>
            </w:pPr>
            <w:r>
              <w:t>8.0 K, 0 T</w:t>
            </w:r>
          </w:p>
        </w:tc>
        <w:tc>
          <w:tcPr/>
          <w:p>
            <w:pPr>
              <w:pStyle w:val="Compact"/>
              <w:jc w:val="right"/>
            </w:pPr>
            <w:r>
              <w:t>5.912</w:t>
            </w:r>
          </w:p>
        </w:tc>
        <w:tc>
          <w:tcPr/>
          <w:p>
            <w:pPr>
              <w:pStyle w:val="Compact"/>
              <w:jc w:val="right"/>
            </w:pPr>
            <w:r>
              <w:t>4</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X01</w:t>
            </w:r>
          </w:p>
        </w:tc>
        <w:tc>
          <w:tcPr/>
          <w:p>
            <w:pPr>
              <w:pStyle w:val="Compact"/>
              <w:jc w:val="right"/>
            </w:pPr>
            <w:r>
              <w:t>39.0</w:t>
            </w:r>
          </w:p>
        </w:tc>
        <w:tc>
          <w:tcPr/>
          <w:p>
            <w:pPr>
              <w:pStyle w:val="Compact"/>
              <w:jc w:val="left"/>
            </w:pPr>
            <w:r>
              <w:t>20.0 K, 0 T</w:t>
            </w:r>
          </w:p>
        </w:tc>
        <w:tc>
          <w:tcPr/>
          <w:p>
            <w:pPr>
              <w:pStyle w:val="Compact"/>
              <w:jc w:val="right"/>
            </w:pPr>
            <w:r>
              <w:t>4.944</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X02</w:t>
            </w:r>
          </w:p>
        </w:tc>
        <w:tc>
          <w:tcPr/>
          <w:p>
            <w:pPr>
              <w:pStyle w:val="Compact"/>
              <w:jc w:val="right"/>
            </w:pPr>
            <w:r>
              <w:t>39.0</w:t>
            </w:r>
          </w:p>
        </w:tc>
        <w:tc>
          <w:tcPr/>
          <w:p>
            <w:pPr>
              <w:pStyle w:val="Compact"/>
              <w:jc w:val="left"/>
            </w:pPr>
            <w:r>
              <w:t>20.0 K, 0 T</w:t>
            </w:r>
          </w:p>
        </w:tc>
        <w:tc>
          <w:tcPr/>
          <w:p>
            <w:pPr>
              <w:pStyle w:val="Compact"/>
              <w:jc w:val="right"/>
            </w:pPr>
            <w:r>
              <w:t>5.068</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X03</w:t>
            </w:r>
          </w:p>
        </w:tc>
        <w:tc>
          <w:tcPr/>
          <w:p>
            <w:pPr>
              <w:pStyle w:val="Compact"/>
              <w:jc w:val="right"/>
            </w:pPr>
            <w:r>
              <w:t>39.0</w:t>
            </w:r>
          </w:p>
        </w:tc>
        <w:tc>
          <w:tcPr/>
          <w:p>
            <w:pPr>
              <w:pStyle w:val="Compact"/>
              <w:jc w:val="left"/>
            </w:pPr>
            <w:r>
              <w:t>20.0 K, 0 T</w:t>
            </w:r>
          </w:p>
        </w:tc>
        <w:tc>
          <w:tcPr/>
          <w:p>
            <w:pPr>
              <w:pStyle w:val="Compact"/>
              <w:jc w:val="right"/>
            </w:pPr>
            <w:r>
              <w:t>5.190</w:t>
            </w:r>
          </w:p>
        </w:tc>
        <w:tc>
          <w:tcPr/>
          <w:p>
            <w:pPr>
              <w:pStyle w:val="Compact"/>
              <w:jc w:val="right"/>
            </w:pPr>
            <w:r>
              <w:t>6</w:t>
            </w:r>
          </w:p>
        </w:tc>
      </w:tr>
    </w:tbl>
    <w:p>
      <w:pPr>
        <w:pStyle w:val="BodyText"/>
      </w:pPr>
      <w:r>
        <w:rPr>
          <w:iCs/>
          <w:i/>
        </w:rPr>
        <w:t xml:space="preserve">Fitted field-axis exponents with their critical scale.</w:t>
      </w:r>
      <w:r>
        <w:t xml:space="preserve"> </w:t>
      </w:r>
      <w:r>
        <w:t>Table S5 is an excerpt from phase_3_form3_fits_partial_cohortB_v2.csv, restricted to fits whose source paper is not withdrawn by any ledger.</w:t>
      </w:r>
      <w:r/>
      <w:r/>
      <w:r/>
      <w:r>
        <w:rPr>
          <w:rStyle w:val="VerbatimChar"/>
        </w:rPr>
      </w:r>
      <w:r>
        <w:t xml:space="preserve"> Each row is one Form 3 fit on</w:t>
      </w:r>
      <w:r>
        <w:t xml:space="preserve"> </w:t>
      </w:r>
      <w:r>
        <w:t xml:space="preserve">one curve. Two columns carry the distinction described in Sec. II.C of the main</w:t>
      </w:r>
      <w:r>
        <w:t xml:space="preserve"> </w:t>
      </w:r>
      <w:r>
        <w:t xml:space="preserve">text:</w:t>
      </w:r>
      <w:r>
        <w:t xml:space="preserve"> </w:t>
      </w:r>
      <w:r>
        <w:rPr>
          <w:rStyle w:val="VerbatimChar"/>
        </w:rPr>
        <w:t xml:space="preserve">Hc2 used</w:t>
      </w:r>
      <w:r>
        <w:t xml:space="preserve"> </w:t>
      </w:r>
      <w:r>
        <w:t xml:space="preserve">is the value the fit was performed against, resolved at the</w:t>
      </w:r>
      <w:r>
        <w:t xml:space="preserve"> </w:t>
      </w:r>
      <w:r>
        <w:t xml:space="preserve">measurement temperature, and</w:t>
      </w:r>
      <w:r>
        <w:t xml:space="preserve"> </w:t>
      </w:r>
      <w:r>
        <w:rPr>
          <w:rStyle w:val="VerbatimChar"/>
        </w:rPr>
        <w:t xml:space="preserve">Hc2 default</w:t>
      </w:r>
      <w:r>
        <w:t xml:space="preserve"> </w:t>
      </w:r>
      <w:r>
        <w:t xml:space="preserve">is the literature zero-temperature</w:t>
      </w:r>
      <w:r>
        <w:t xml:space="preserve"> </w:t>
      </w:r>
      <w:r>
        <w:t xml:space="preserve">value for the same compound. The provenance string records how the resolved value</w:t>
      </w:r>
      <w:r>
        <w:t xml:space="preserve"> </w:t>
      </w:r>
      <w:r>
        <w:t xml:space="preserve">was obtained, and the normalized span is the field range of the curve as a</w:t>
      </w:r>
      <w:r>
        <w:t xml:space="preserve"> </w:t>
      </w:r>
      <w:r>
        <w:t xml:space="preserve">fraction of the resolved scale, which is the quantity the applicability filter</w:t>
      </w:r>
      <w:r>
        <w:t xml:space="preserve"> </w:t>
      </w:r>
      <w:r>
        <w:t xml:space="preserve">tests against 0.3.</w:t>
      </w:r>
    </w:p>
    <w:p>
      <w:pPr>
        <w:pStyle w:val="BodyText"/>
      </w:pPr>
      <w:r>
        <w:t>These rows are selected by rule rather than by hand, and the rule is in the generator named in the caption. The three passing fits are the smallest standard errors in the cohort, one per source paper, with spans of 0.400, 0.571, 0.778. The three cuprate rows are the narrowest spans in the cohort, 0.005 to 0.015, and all of them sit at the imposed ceiling of 30, two with a standard error larger than the estimate. The LaFeAsO row is the failure mode quantified in Sec. III.F: the resolved scale of 5.8 T sits far below the 86 T literature value, the span is 0.260, and the exponent runs to 19.18. These are the fits the applicability qualification exists to exclude, and they are visible in the deposit rather than filtered out of it.</w:t>
      </w:r>
      <w:r>
        <w:rPr>
          <w:vertAlign w:val="subscript"/>
        </w:rPr>
      </w:r>
      <w:r/>
      <w:r/>
      <w:r/>
      <w:r/>
      <w:r/>
      <w:r/>
      <w:r/>
      <w:r>
        <w:rPr>
          <w:vertAlign w:val="subscript"/>
        </w:rPr>
      </w:r>
      <w:r/>
      <w:r>
        <w:rPr>
          <w:vertAlign w:val="subscript"/>
        </w:rPr>
      </w:r>
      <w:r/>
      <w:r/>
      <w:r/>
      <w:r/>
      <w:r/>
      <w:r/>
      <w:r/>
      <w:r/>
      <w:r/>
      <w:r/>
      <w:r/>
      <w:r/>
      <w:r/>
      <w:r/>
    </w:p>
    <w:p>
      <w:pPr>
        <w:pStyle w:val="BodyText"/>
      </w:pPr>
      <w:r>
        <w:rPr>
          <w:bCs/>
          <w:b/>
        </w:rPr>
        <w:t>Table S5. Excerpt from the field-axis Form 3 fit file, generated by analysis/build_supplement_tables.py.</w:t>
      </w:r>
      <w:r/>
      <w:r/>
      <w:r>
        <w:t xml:space="preserve"> </w:t>
      </w:r>
      <w:r>
        <w:rPr>
          <w:rStyle w:val="VerbatimChar"/>
        </w:rPr>
        <w:t xml:space="preserve">Used</w:t>
      </w:r>
      <w:r>
        <w:t xml:space="preserve"> </w:t>
      </w:r>
      <w:r>
        <w:t xml:space="preserve">is the critical field the fit</w:t>
      </w:r>
      <w:r>
        <w:t xml:space="preserve"> </w:t>
      </w:r>
      <w:r>
        <w:t xml:space="preserve">was performed against, resolved at the measurement temperature;</w:t>
      </w:r>
      <w:r>
        <w:t xml:space="preserve"> </w:t>
      </w:r>
      <w:r>
        <w:rPr>
          <w:rStyle w:val="VerbatimChar"/>
        </w:rPr>
        <w:t xml:space="preserve">default</w:t>
      </w:r>
      <w:r>
        <w:t xml:space="preserve"> </w:t>
      </w:r>
      <w:r>
        <w:t xml:space="preserve">is the literature</w:t>
      </w:r>
      <w:r>
        <w:t xml:space="preserve"> </w:t>
      </w:r>
      <w:r>
        <w:t xml:space="preserve">zero-temperature value for the same compound. Span is the curve’s field range as a fraction of</w:t>
      </w:r>
      <w:r>
        <w:t xml:space="preserve"> </w:t>
      </w:r>
      <w:r>
        <w:t xml:space="preserve">the resolved scale, which the applicability filter tests against 0.3. Exponents are</w:t>
      </w:r>
      <w:r>
        <w:t xml:space="preserve"> </w:t>
      </w:r>
      <w:r>
        <w:t xml:space="preserve">dimensionless.</w:t>
      </w:r>
      <w:r>
        <w:t xml:space="preserve"> </w:t>
      </w:r>
      <w:r>
        <w:rPr>
          <w:rStyle w:val="VerbatimChar"/>
        </w:rPr>
        <w:t xml:space="preserve">bound</w:t>
      </w:r>
      <w:r>
        <w:t xml:space="preserve"> </w:t>
      </w:r>
      <w:r>
        <w:t xml:space="preserve">in the flag column is the pipeline’s own H-axis applicability flag. Sample</w:t>
      </w:r>
      <w:r>
        <w:t xml:space="preserve"> </w:t>
      </w:r>
      <w:r>
        <w:t xml:space="preserve">form, the fitted intercept, and the point count are carried in the deposited file and are omitted</w:t>
      </w:r>
      <w:r>
        <w:t xml:space="preserve"> </w:t>
      </w:r>
      <w:r>
        <w:t>here for width; the first three rows are single crystal, polycrystal and bulk respectively.</w:t>
      </w:r>
    </w:p>
    <w:tbl>
      <w:tblPr>
        <w:tblStyle w:val="Table"/>
        <w:tblW w:type="pct" w:w="5000"/>
        <w:tblLook w:firstRow="1" w:lastRow="0" w:firstColumn="0" w:lastColumn="0" w:noHBand="0" w:noVBand="0" w:val="0020"/>
        <w:jc w:val="start"/>
      </w:tblPr>
      <w:tblGrid>
        <w:gridCol w:w="1616"/>
        <w:gridCol w:w="1131"/>
        <w:gridCol w:w="969"/>
        <w:gridCol w:w="1616"/>
        <w:gridCol w:w="808"/>
        <w:gridCol w:w="808"/>
        <w:gridCol w:w="969"/>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rPr>
                <w:iCs/>
                <w:i/>
              </w:rPr>
              <w:t xml:space="preserve">H</w:t>
            </w:r>
            <w:r>
              <w:rPr>
                <w:vertAlign w:val="subscript"/>
              </w:rPr>
              <w:t xml:space="preserve">c2</w:t>
            </w:r>
            <w:r>
              <w:t xml:space="preserve"> </w:t>
            </w:r>
            <w:r>
              <w:t xml:space="preserve">used / default (T)</w:t>
            </w:r>
          </w:p>
        </w:tc>
        <w:tc>
          <w:tcPr/>
          <w:p>
            <w:pPr>
              <w:pStyle w:val="Compact"/>
              <w:jc w:val="left"/>
            </w:pPr>
            <w:r>
              <w:t xml:space="preserve">Scale provenance</w:t>
            </w:r>
          </w:p>
        </w:tc>
        <w:tc>
          <w:tcPr/>
          <w:p>
            <w:pPr>
              <w:pStyle w:val="Compact"/>
              <w:jc w:val="right"/>
            </w:pPr>
            <w:r>
              <w:t xml:space="preserve">Span</w:t>
            </w:r>
          </w:p>
        </w:tc>
        <w:tc>
          <w:tcPr/>
          <w:p>
            <w:pPr>
              <w:pStyle w:val="Compact"/>
              <w:jc w:val="left"/>
            </w:pPr>
            <w:r>
              <w:t xml:space="preserve">β</w:t>
            </w:r>
            <w:r>
              <w:rPr>
                <w:vertAlign w:val="subscript"/>
              </w:rPr>
              <w:t xml:space="preserve">H</w:t>
            </w:r>
            <w:r>
              <w:t xml:space="preserve"> </w:t>
            </w:r>
            <w:r>
              <w:t xml:space="preserve">(SE)</w:t>
            </w:r>
          </w:p>
        </w:tc>
        <w:tc>
          <w:tcPr/>
          <w:p>
            <w:pPr>
              <w:pStyle w:val="Compact"/>
              <w:jc w:val="left"/>
            </w:pPr>
            <w:r>
              <w:t xml:space="preserve">Flag</w:t>
            </w:r>
          </w:p>
        </w:tc>
      </w:tr>
      <w:tr>
        <w:tc>
          <w:tcPr/>
          <w:p>
            <w:pPr>
              <w:pStyle w:val="Compact"/>
              <w:jc w:val="left"/>
            </w:pPr>
            <w:r>
              <w:t>j.mtphys.2022.100783</w:t>
            </w:r>
          </w:p>
        </w:tc>
        <w:tc>
          <w:tcPr/>
          <w:p>
            <w:pPr>
              <w:pStyle w:val="Compact"/>
              <w:jc w:val="left"/>
            </w:pPr>
            <w:r>
              <w:t>Ba(Fe,Co)2As2</w:t>
            </w:r>
          </w:p>
        </w:tc>
        <w:tc>
          <w:tcPr/>
          <w:p>
            <w:pPr>
              <w:pStyle w:val="Compact"/>
              <w:jc w:val="left"/>
            </w:pPr>
            <w:r>
              <w:t>4.5 / 50.0</w:t>
            </w:r>
          </w:p>
        </w:tc>
        <w:tc>
          <w:tcPr/>
          <w:p>
            <w:pPr>
              <w:pStyle w:val="Compact"/>
              <w:jc w:val="left"/>
            </w:pPr>
            <w:r>
              <w:t>Tier 1, extrapolated</w:t>
            </w:r>
          </w:p>
        </w:tc>
        <w:tc>
          <w:tcPr/>
          <w:p>
            <w:pPr>
              <w:pStyle w:val="Compact"/>
              <w:jc w:val="right"/>
            </w:pPr>
            <w:r>
              <w:t>0.778</w:t>
            </w:r>
          </w:p>
        </w:tc>
        <w:tc>
          <w:tcPr/>
          <w:p>
            <w:pPr>
              <w:pStyle w:val="Compact"/>
              <w:jc w:val="left"/>
            </w:pPr>
            <w:r>
              <w:t>0.26 (0.04)</w:t>
            </w:r>
          </w:p>
        </w:tc>
        <w:tc>
          <w:tcPr/>
          <w:p>
            <w:pPr>
              <w:pStyle w:val="Compact"/>
              <w:jc w:val="left"/>
            </w:pPr>
            <w:r>
              <w:t>ok</w:t>
            </w:r>
          </w:p>
        </w:tc>
      </w:tr>
      <w:tr>
        <w:tc>
          <w:tcPr/>
          <w:p>
            <w:pPr>
              <w:pStyle w:val="Compact"/>
              <w:jc w:val="left"/>
            </w:pPr>
            <w:r>
              <w:t>j.physc.2011.02.004</w:t>
            </w:r>
          </w:p>
        </w:tc>
        <w:tc>
          <w:tcPr/>
          <w:p>
            <w:pPr>
              <w:pStyle w:val="Compact"/>
              <w:jc w:val="left"/>
            </w:pPr>
            <w:r>
              <w:t>PrFeAsO0.6F0.12</w:t>
            </w:r>
          </w:p>
        </w:tc>
        <w:tc>
          <w:tcPr/>
          <w:p>
            <w:pPr>
              <w:pStyle w:val="Compact"/>
              <w:jc w:val="left"/>
            </w:pPr>
            <w:r>
              <w:t>12.8 / 120.0</w:t>
            </w:r>
          </w:p>
        </w:tc>
        <w:tc>
          <w:tcPr/>
          <w:p>
            <w:pPr>
              <w:pStyle w:val="Compact"/>
              <w:jc w:val="left"/>
            </w:pPr>
            <w:r>
              <w:t>Tier 1, extrapolated</w:t>
            </w:r>
          </w:p>
        </w:tc>
        <w:tc>
          <w:tcPr/>
          <w:p>
            <w:pPr>
              <w:pStyle w:val="Compact"/>
              <w:jc w:val="right"/>
            </w:pPr>
            <w:r>
              <w:t>0.983</w:t>
            </w:r>
          </w:p>
        </w:tc>
        <w:tc>
          <w:tcPr/>
          <w:p>
            <w:pPr>
              <w:pStyle w:val="Compact"/>
              <w:jc w:val="left"/>
            </w:pPr>
            <w:r>
              <w:t>0.16 (0.04)</w:t>
            </w:r>
          </w:p>
        </w:tc>
        <w:tc>
          <w:tcPr/>
          <w:p>
            <w:pPr>
              <w:pStyle w:val="Compact"/>
              <w:jc w:val="left"/>
            </w:pPr>
            <w:r>
              <w:t>ok</w:t>
            </w:r>
          </w:p>
        </w:tc>
      </w:tr>
      <w:tr>
        <w:tc>
          <w:tcPr/>
          <w:p>
            <w:pPr>
              <w:pStyle w:val="Compact"/>
              <w:jc w:val="left"/>
            </w:pPr>
            <w:r>
              <w:t>j.jallcom.2023.170146</w:t>
            </w:r>
          </w:p>
        </w:tc>
        <w:tc>
          <w:tcPr/>
          <w:p>
            <w:pPr>
              <w:pStyle w:val="Compact"/>
              <w:jc w:val="left"/>
            </w:pPr>
            <w:r>
              <w:t>MgB2</w:t>
            </w:r>
          </w:p>
        </w:tc>
        <w:tc>
          <w:tcPr/>
          <w:p>
            <w:pPr>
              <w:pStyle w:val="Compact"/>
              <w:jc w:val="left"/>
            </w:pPr>
            <w:r>
              <w:t>4.0 / 15.5</w:t>
            </w:r>
          </w:p>
        </w:tc>
        <w:tc>
          <w:tcPr/>
          <w:p>
            <w:pPr>
              <w:pStyle w:val="Compact"/>
              <w:jc w:val="left"/>
            </w:pPr>
            <w:r>
              <w:t>Tier 1, direct match</w:t>
            </w:r>
          </w:p>
        </w:tc>
        <w:tc>
          <w:tcPr/>
          <w:p>
            <w:pPr>
              <w:pStyle w:val="Compact"/>
              <w:jc w:val="right"/>
            </w:pPr>
            <w:r>
              <w:t>0.921</w:t>
            </w:r>
          </w:p>
        </w:tc>
        <w:tc>
          <w:tcPr/>
          <w:p>
            <w:pPr>
              <w:pStyle w:val="Compact"/>
              <w:jc w:val="left"/>
            </w:pPr>
            <w:r>
              <w:t>1.78 (0.07)</w:t>
            </w:r>
          </w:p>
        </w:tc>
        <w:tc>
          <w:tcPr/>
          <w:p>
            <w:pPr>
              <w:pStyle w:val="Compact"/>
              <w:jc w:val="left"/>
            </w:pPr>
            <w:r>
              <w:t>ok</w:t>
            </w:r>
          </w:p>
        </w:tc>
      </w:tr>
      <w:tr>
        <w:tc>
          <w:tcPr/>
          <w:p>
            <w:pPr>
              <w:pStyle w:val="Compact"/>
              <w:jc w:val="left"/>
            </w:pPr>
            <w:r>
              <w:t>j.jallcom.2013.04.183</w:t>
            </w:r>
          </w:p>
        </w:tc>
        <w:tc>
          <w:tcPr/>
          <w:p>
            <w:pPr>
              <w:pStyle w:val="Compact"/>
              <w:jc w:val="left"/>
            </w:pPr>
            <w:r>
              <w:t>Bi2Sr2-xNixCa2Cu3O</w:t>
            </w:r>
          </w:p>
        </w:tc>
        <w:tc>
          <w:tcPr/>
          <w:p>
            <w:pPr>
              <w:pStyle w:val="Compact"/>
              <w:jc w:val="left"/>
            </w:pPr>
            <w:r>
              <w:t>100.0 / 100.0</w:t>
            </w:r>
          </w:p>
        </w:tc>
        <w:tc>
          <w:tcPr/>
          <w:p>
            <w:pPr>
              <w:pStyle w:val="Compact"/>
              <w:jc w:val="left"/>
            </w:pPr>
            <w:r>
              <w:t>Tier 3, literature default</w:t>
            </w:r>
          </w:p>
        </w:tc>
        <w:tc>
          <w:tcPr/>
          <w:p>
            <w:pPr>
              <w:pStyle w:val="Compact"/>
              <w:jc w:val="right"/>
            </w:pPr>
            <w:r>
              <w:t>0.015</w:t>
            </w:r>
          </w:p>
        </w:tc>
        <w:tc>
          <w:tcPr/>
          <w:p>
            <w:pPr>
              <w:pStyle w:val="Compact"/>
              <w:jc w:val="left"/>
            </w:pPr>
            <w:r>
              <w:t>30.00 (28.64)</w:t>
            </w:r>
          </w:p>
        </w:tc>
        <w:tc>
          <w:tcPr/>
          <w:p>
            <w:pPr>
              <w:pStyle w:val="Compact"/>
              <w:jc w:val="left"/>
            </w:pPr>
            <w:r>
              <w:t>bound</w:t>
            </w:r>
          </w:p>
        </w:tc>
      </w:tr>
      <w:tr>
        <w:tc>
          <w:tcPr/>
          <w:p>
            <w:pPr>
              <w:pStyle w:val="Compact"/>
              <w:jc w:val="left"/>
            </w:pPr>
            <w:r>
              <w:t>j.phpro.2012.03.421</w:t>
            </w:r>
          </w:p>
        </w:tc>
        <w:tc>
          <w:tcPr/>
          <w:p>
            <w:pPr>
              <w:pStyle w:val="Compact"/>
              <w:jc w:val="left"/>
            </w:pPr>
            <w:r>
              <w:t>Ba(Fe,Ru)2As2</w:t>
            </w:r>
          </w:p>
        </w:tc>
        <w:tc>
          <w:tcPr/>
          <w:p>
            <w:pPr>
              <w:pStyle w:val="Compact"/>
              <w:jc w:val="left"/>
            </w:pPr>
            <w:r>
              <w:t>15.3 / 60.0</w:t>
            </w:r>
          </w:p>
        </w:tc>
        <w:tc>
          <w:tcPr/>
          <w:p>
            <w:pPr>
              <w:pStyle w:val="Compact"/>
              <w:jc w:val="left"/>
            </w:pPr>
            <w:r>
              <w:t>Tier 1, extrapolated</w:t>
            </w:r>
          </w:p>
        </w:tc>
        <w:tc>
          <w:tcPr/>
          <w:p>
            <w:pPr>
              <w:pStyle w:val="Compact"/>
              <w:jc w:val="right"/>
            </w:pPr>
            <w:r>
              <w:t>0.033</w:t>
            </w:r>
          </w:p>
        </w:tc>
        <w:tc>
          <w:tcPr/>
          <w:p>
            <w:pPr>
              <w:pStyle w:val="Compact"/>
              <w:jc w:val="left"/>
            </w:pPr>
            <w:r>
              <w:t>19.06 (2.63)</w:t>
            </w:r>
          </w:p>
        </w:tc>
        <w:tc>
          <w:tcPr/>
          <w:p>
            <w:pPr>
              <w:pStyle w:val="Compact"/>
              <w:jc w:val="left"/>
            </w:pPr>
            <w:r>
              <w:t>bound</w:t>
            </w:r>
          </w:p>
        </w:tc>
      </w:tr>
      <w:tr>
        <w:tc>
          <w:tcPr/>
          <w:p>
            <w:pPr>
              <w:pStyle w:val="Compact"/>
              <w:jc w:val="left"/>
            </w:pPr>
            <w:r>
              <w:t>0921-4534(96)00225-0</w:t>
            </w:r>
          </w:p>
        </w:tc>
        <w:tc>
          <w:tcPr/>
          <w:p>
            <w:pPr>
              <w:pStyle w:val="Compact"/>
              <w:jc w:val="left"/>
            </w:pPr>
            <w:r>
              <w:t>YBaCuO</w:t>
            </w:r>
          </w:p>
        </w:tc>
        <w:tc>
          <w:tcPr/>
          <w:p>
            <w:pPr>
              <w:pStyle w:val="Compact"/>
              <w:jc w:val="left"/>
            </w:pPr>
            <w:r>
              <w:t>130.0 / 130.0</w:t>
            </w:r>
          </w:p>
        </w:tc>
        <w:tc>
          <w:tcPr/>
          <w:p>
            <w:pPr>
              <w:pStyle w:val="Compact"/>
              <w:jc w:val="left"/>
            </w:pPr>
            <w:r>
              <w:t>Tier 3, literature default</w:t>
            </w:r>
          </w:p>
        </w:tc>
        <w:tc>
          <w:tcPr/>
          <w:p>
            <w:pPr>
              <w:pStyle w:val="Compact"/>
              <w:jc w:val="right"/>
            </w:pPr>
            <w:r>
              <w:t>0.038</w:t>
            </w:r>
          </w:p>
        </w:tc>
        <w:tc>
          <w:tcPr/>
          <w:p>
            <w:pPr>
              <w:pStyle w:val="Compact"/>
              <w:jc w:val="left"/>
            </w:pPr>
            <w:r>
              <w:t>30.00 (25.66)</w:t>
            </w:r>
          </w:p>
        </w:tc>
        <w:tc>
          <w:tcPr/>
          <w:p>
            <w:pPr>
              <w:pStyle w:val="Compact"/>
              <w:jc w:val="left"/>
            </w:pPr>
            <w:r>
              <w:t>bound</w:t>
            </w:r>
          </w:p>
        </w:tc>
      </w:tr>
      <w:tr>
        <w:tc>
          <w:tcPr/>
          <w:p>
            <w:pPr>
              <w:pStyle w:val="Compact"/>
              <w:jc w:val="left"/>
            </w:pPr>
            <w:r>
              <w:t>j.jallcom.2023.170384</w:t>
            </w:r>
          </w:p>
        </w:tc>
        <w:tc>
          <w:tcPr/>
          <w:p>
            <w:pPr>
              <w:pStyle w:val="Compact"/>
              <w:jc w:val="left"/>
            </w:pPr>
            <w:r>
              <w:t>LaFeAsO</w:t>
            </w:r>
          </w:p>
        </w:tc>
        <w:tc>
          <w:tcPr/>
          <w:p>
            <w:pPr>
              <w:pStyle w:val="Compact"/>
              <w:jc w:val="left"/>
            </w:pPr>
            <w:r>
              <w:t>5.8 / 86.0</w:t>
            </w:r>
          </w:p>
        </w:tc>
        <w:tc>
          <w:tcPr/>
          <w:p>
            <w:pPr>
              <w:pStyle w:val="Compact"/>
              <w:jc w:val="left"/>
            </w:pPr>
            <w:r>
              <w:t>Tier 1, extrapolated</w:t>
            </w:r>
          </w:p>
        </w:tc>
        <w:tc>
          <w:tcPr/>
          <w:p>
            <w:pPr>
              <w:pStyle w:val="Compact"/>
              <w:jc w:val="right"/>
            </w:pPr>
            <w:r>
              <w:t>0.260</w:t>
            </w:r>
          </w:p>
        </w:tc>
        <w:tc>
          <w:tcPr/>
          <w:p>
            <w:pPr>
              <w:pStyle w:val="Compact"/>
              <w:jc w:val="left"/>
            </w:pPr>
            <w:r>
              <w:t>19.18 (0.82)</w:t>
            </w:r>
          </w:p>
        </w:tc>
        <w:tc>
          <w:tcPr/>
          <w:p>
            <w:pPr>
              <w:pStyle w:val="Compact"/>
              <w:jc w:val="left"/>
            </w:pPr>
            <w:r>
              <w:t>bound</w:t>
            </w:r>
          </w:p>
        </w:tc>
      </w:tr>
    </w:tbl>
    <w:p>
      <w:pPr>
        <w:pStyle w:val="BodyText"/>
      </w:pPr>
      <w:r>
        <w:t>Across the whole file, 89 of the 159 fits resolve their scale through a Tier 1 direct or extrapolated match, 61 through the Tier 3 literature default, and 9 through the Tier 2 per-substructure ratio.</w:t>
      </w:r>
      <w:r/>
      <w:r/>
      <w:r/>
      <w:r>
        <w:t xml:space="preserve"> Section 13 reports the audit of where</w:t>
      </w:r>
      <w:r>
        <w:t xml:space="preserve"> </w:t>
      </w:r>
      <w:r>
        <w:t xml:space="preserve">the Tier 1 values themselves came from, which is the finding that qualifies every</w:t>
      </w:r>
      <w:r>
        <w:t xml:space="preserve"> </w:t>
      </w:r>
      <w:r>
        <w:t xml:space="preserve">field-axis result in this paper.</w:t>
      </w:r>
    </w:p>
    <w:p>
      <w:pPr>
        <w:pStyle w:val="BodyText"/>
      </w:pPr>
      <w:r>
        <w:rPr>
          <w:iCs/>
          <w:i/>
        </w:rPr>
        <w:t xml:space="preserve">Dispatch rows with refusal codes.</w:t>
      </w:r>
      <w:r>
        <w:t xml:space="preserve"> </w:t>
      </w:r>
      <w:r>
        <w:t xml:space="preserve">Table S6 is an excerpt from</w:t>
      </w:r>
      <w:r>
        <w:t xml:space="preserve"> </w:t>
      </w:r>
      <w:r>
        <w:rPr>
          <w:rStyle w:val="VerbatimChar"/>
        </w:rPr>
        <w:t xml:space="preserve">phase_3_p57_de_novo_predictions.csv</w:t>
      </w:r>
      <w:r>
        <w:t>, the 2097-row candidate prediction file.</w:t>
      </w:r>
      <w:r>
        <w:t xml:space="preserve"> </w:t>
      </w:r>
      <w:r>
        <w:t>Each row is one candidate compound at one point of the evaluation grid. A row carries a prediction with a bootstrap interval, a refusal code, or both: a refusal acts on one prediction target rather than on a candidate, so a row refused on the field axis can still carry the temperature-axis value the remaining gates allow, and 321 of the 540 rows refused for a missing upper-critical-field anchor do.</w:t>
      </w:r>
      <w:r/>
      <w:r/>
      <w:r/>
      <w:r>
        <w:t xml:space="preserve"> The file contains 163 emitted predictions and 1934 refusals: 1054 for a field below the validated reduced-field range, 540 for a missing upper-critical-field anchor, 207 for a target temperature above the transition temperature, 93 for a temperature above the validated reduced-temperature range, and 40 for a family that fails field-axis validation.</w:t>
      </w:r>
      <w:r/>
      <w:r/>
      <w:r/>
      <w:r/>
    </w:p>
    <w:p>
      <w:pPr>
        <w:pStyle w:val="BodyText"/>
      </w:pPr>
      <w:r>
        <w:rPr>
          <w:bCs/>
          <w:b/>
        </w:rPr>
        <w:t>Table S6. Excerpt from the candidate dispatch file, generated by analysis/build_supplement_tables.py: two dispatched targets, then one target carrying each refusal code the file uses. The dispatched rows are MgB2-class, which is the only family the routine dispatches; the refused rows are iron chalcogenide 11-type and iron pnictide 122-type.</w:t>
      </w:r>
      <w:r/>
      <w:r/>
      <w:r/>
      <w:r/>
      <w:r/>
      <w:r>
        <w:t xml:space="preserve"> Predicted values are log</w:t>
      </w:r>
      <w:r>
        <w:rPr>
          <w:vertAlign w:val="subscript"/>
        </w:rPr>
        <w:t xml:space="preserve">10</w:t>
      </w:r>
      <w:r>
        <w:t xml:space="preserve"> </w:t>
      </w:r>
      <w:r>
        <w:rPr>
          <w:iCs/>
          <w:i/>
        </w:rPr>
        <w:t xml:space="preserve">J</w:t>
      </w:r>
      <w:r>
        <w:rPr>
          <w:vertAlign w:val="subscript"/>
          <w:iCs/>
          <w:i/>
        </w:rPr>
        <w:t xml:space="preserve">c</w:t>
      </w:r>
      <w:r>
        <w:t xml:space="preserve"> </w:t>
      </w:r>
      <w:r>
        <w:t xml:space="preserve">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 the interval is the</w:t>
      </w:r>
      <w:r>
        <w:t xml:space="preserve"> </w:t>
      </w:r>
      <w:r>
        <w:t xml:space="preserve">95% bootstrap interval over 5000 iterations. Stage 2 is the sample-form conditional scope of</w:t>
      </w:r>
      <w:r>
        <w:t xml:space="preserve"> </w:t>
      </w:r>
      <w:r>
        <w:t xml:space="preserve">Sec. II.D of the main text.</w:t>
      </w:r>
    </w:p>
    <w:tbl>
      <w:tblPr>
        <w:tblStyle w:val="Table"/>
        <w:tblW w:type="pct" w:w="5000"/>
        <w:tblLook w:firstRow="1" w:lastRow="0" w:firstColumn="0" w:lastColumn="0" w:noHBand="0" w:noVBand="0" w:val="0020"/>
        <w:jc w:val="start"/>
      </w:tblPr>
      <w:tblGrid>
        <w:gridCol w:w="1298"/>
        <w:gridCol w:w="1168"/>
        <w:gridCol w:w="1493"/>
        <w:gridCol w:w="584"/>
        <w:gridCol w:w="519"/>
        <w:gridCol w:w="649"/>
        <w:gridCol w:w="1038"/>
        <w:gridCol w:w="1168"/>
      </w:tblGrid>
      <w:tr>
        <w:trPr>
          <w:tblHeader w:val="true"/>
        </w:trPr>
        <w:tc>
          <w:tcPr/>
          <w:p>
            <w:pPr>
              <w:pStyle w:val="Compact"/>
              <w:jc w:val="left"/>
            </w:pPr>
            <w:r>
              <w:t xml:space="preserve">Candidate</w:t>
            </w:r>
          </w:p>
        </w:tc>
        <w:tc>
          <w:tcPr/>
          <w:p>
            <w:pPr>
              <w:pStyle w:val="Compact"/>
              <w:jc w:val="left"/>
            </w:pPr>
            <w:r>
              <w:t xml:space="preserve">Anchors</w:t>
            </w:r>
            <w:r>
              <w:t xml:space="preserve"> </w:t>
            </w:r>
            <w:r>
              <w:rPr>
                <w:iCs/>
                <w:i/>
              </w:rPr>
              <w:t xml:space="preserve">T</w:t>
            </w:r>
            <w:r>
              <w:rPr>
                <w:vertAlign w:val="subscript"/>
                <w:iCs/>
                <w:i/>
              </w:rPr>
              <w:t xml:space="preserve">c</w:t>
            </w:r>
            <w:r>
              <w:t xml:space="preserve"> </w:t>
            </w:r>
            <w:r>
              <w:t xml:space="preserve">/</w:t>
            </w:r>
            <w:r>
              <w:t xml:space="preserve"> </w:t>
            </w:r>
            <w:r>
              <w:rPr>
                <w:iCs/>
                <w:i/>
              </w:rPr>
              <w:t xml:space="preserve">H</w:t>
            </w:r>
            <w:r>
              <w:rPr>
                <w:vertAlign w:val="subscript"/>
              </w:rPr>
              <w:t xml:space="preserve">c2</w:t>
            </w:r>
          </w:p>
        </w:tc>
        <w:tc>
          <w:tcPr/>
          <w:p>
            <w:pPr>
              <w:pStyle w:val="Compact"/>
              <w:jc w:val="left"/>
            </w:pPr>
            <w:r>
              <w:t xml:space="preserve">Scope</w:t>
            </w:r>
          </w:p>
        </w:tc>
        <w:tc>
          <w:tcPr/>
          <w:p>
            <w:pPr>
              <w:pStyle w:val="Compact"/>
              <w:jc w:val="right"/>
            </w:pPr>
            <w:r>
              <w:rPr>
                <w:iCs/>
                <w:i/>
              </w:rPr>
              <w:t xml:space="preserve">T</w:t>
            </w:r>
            <w:r>
              <w:t xml:space="preserve"> </w:t>
            </w:r>
            <w:r>
              <w:t xml:space="preserve">(K)</w:t>
            </w:r>
          </w:p>
        </w:tc>
        <w:tc>
          <w:tcPr/>
          <w:p>
            <w:pPr>
              <w:pStyle w:val="Compact"/>
              <w:jc w:val="right"/>
            </w:pPr>
            <w:r>
              <w:rPr>
                <w:iCs/>
                <w:i/>
              </w:rPr>
              <w:t xml:space="preserve">H</w:t>
            </w:r>
            <w:r>
              <w:t xml:space="preserve"> </w:t>
            </w:r>
            <w:r>
              <w:t xml:space="preserve">(T)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left"/>
            </w:pPr>
            <w:r>
              <w:t xml:space="preserve">95% interval</w:t>
            </w:r>
          </w:p>
        </w:tc>
        <w:tc>
          <w:tcPr/>
          <w:p>
            <w:pPr>
              <w:pStyle w:val="Compact"/>
              <w:jc w:val="left"/>
            </w:pPr>
            <w:r>
              <w:t xml:space="preserve">Refusal</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4.2</w:t>
            </w:r>
          </w:p>
        </w:tc>
        <w:tc>
          <w:tcPr/>
          <w:p>
            <w:pPr>
              <w:pStyle w:val="Compact"/>
              <w:jc w:val="right"/>
            </w:pPr>
            <w:r>
              <w:t>5.0</w:t>
            </w:r>
          </w:p>
        </w:tc>
        <w:tc>
          <w:tcPr/>
          <w:p>
            <w:pPr>
              <w:pStyle w:val="Compact"/>
              <w:jc w:val="right"/>
            </w:pPr>
            <w:r>
              <w:t>4.981</w:t>
            </w:r>
          </w:p>
        </w:tc>
        <w:tc>
          <w:tcPr/>
          <w:p>
            <w:pPr>
              <w:pStyle w:val="Compact"/>
              <w:jc w:val="left"/>
            </w:pPr>
            <w:r>
              <w:t>4.664 to 5.265</w:t>
            </w:r>
          </w:p>
        </w:tc>
        <w:tc>
          <w:tcPr/>
          <w:p>
            <w:pPr>
              <w:pStyle w:val="Compact"/>
              <w:jc w:val="left"/>
            </w:pPr>
            <w:r>
              <w:t>none</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20.0</w:t>
            </w:r>
          </w:p>
        </w:tc>
        <w:tc>
          <w:tcPr/>
          <w:p>
            <w:pPr>
              <w:pStyle w:val="Compact"/>
              <w:jc w:val="right"/>
            </w:pPr>
            <w:r>
              <w:t>5.0</w:t>
            </w:r>
          </w:p>
        </w:tc>
        <w:tc>
          <w:tcPr/>
          <w:p>
            <w:pPr>
              <w:pStyle w:val="Compact"/>
              <w:jc w:val="right"/>
            </w:pPr>
            <w:r>
              <w:t>4.668</w:t>
            </w:r>
          </w:p>
        </w:tc>
        <w:tc>
          <w:tcPr/>
          <w:p>
            <w:pPr>
              <w:pStyle w:val="Compact"/>
              <w:jc w:val="left"/>
            </w:pPr>
            <w:r>
              <w:t>4.248 to 5.063</w:t>
            </w:r>
          </w:p>
        </w:tc>
        <w:tc>
          <w:tcPr/>
          <w:p>
            <w:pPr>
              <w:pStyle w:val="Compact"/>
              <w:jc w:val="left"/>
            </w:pPr>
            <w:r>
              <w:t>none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t>H below validated range</w:t>
            </w:r>
          </w:p>
        </w:tc>
      </w:tr>
      <w:tr>
        <w:tc>
          <w:tcPr/>
          <w:p>
            <w:pPr>
              <w:pStyle w:val="Compact"/>
              <w:jc w:val="left"/>
            </w:pPr>
            <w:r>
              <w:t>As1.7Eu1Fe2P0.3</w:t>
            </w:r>
          </w:p>
        </w:tc>
        <w:tc>
          <w:tcPr/>
          <w:p>
            <w:pPr>
              <w:pStyle w:val="Compact"/>
              <w:jc w:val="left"/>
            </w:pPr>
            <w:r>
              <w:t>23.0 K / none</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5.746</w:t>
            </w:r>
          </w:p>
        </w:tc>
        <w:tc>
          <w:tcPr/>
          <w:p>
            <w:pPr>
              <w:pStyle w:val="Compact"/>
              <w:jc w:val="left"/>
            </w:pPr>
            <w:r>
              <w:t>5.622 to 5.804</w:t>
            </w:r>
          </w:p>
        </w:tc>
        <w:tc>
          <w:tcPr/>
          <w:p>
            <w:pPr>
              <w:pStyle w:val="Compact"/>
              <w:jc w:val="left"/>
            </w:pPr>
            <w:r>
              <w:rPr>
                <w:iCs/>
                <w:i/>
              </w:rPr>
              <w:t>Hc2 unavailable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20.0</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rPr>
                <w:iCs/>
                <w:i/>
              </w:rPr>
              <w:t>T above Tc</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29.2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T above validated range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family fails field axis</w:t>
            </w:r>
          </w:p>
        </w:tc>
      </w:tr>
    </w:tbl>
    <w:p>
      <w:pPr>
        <w:pStyle w:val="BodyText"/>
      </w:pPr>
      <w:r>
        <w:t xml:space="preserve">The first three rows illustrate the structural property discussed in Sec. III.E of</w:t>
      </w:r>
      <w:r>
        <w:t xml:space="preserve"> </w:t>
      </w:r>
      <w:r>
        <w:t xml:space="preserve">the main text: the field dependence over the evaluated grid is small, 0.22 dex</w:t>
      </w:r>
      <w:r>
        <w:t xml:space="preserve"> </w:t>
      </w:r>
      <w:r>
        <w:t xml:space="preserve">from 0.1 to 5 T, because 5 T is a reduced field of 0.31 against this candidate’s</w:t>
      </w:r>
      <w:r>
        <w:t xml:space="preserve"> </w:t>
      </w:r>
      <w:r>
        <w:t xml:space="preserve">16 T anchor. The last row shows what a field-axis refusal does and does not remove. The candidate has a</w:t>
      </w:r>
      <w:r>
        <w:t xml:space="preserve"> </w:t>
      </w:r>
      <w:r>
        <w:t xml:space="preserve">transition-temperature anchor but no upper-critical-field anchor of any tier, so it is flagged</w:t>
      </w:r>
      <w:r>
        <w:t xml:space="preserve"> </w:t>
      </w:r>
      <w:r>
        <w:rPr>
          <w:iCs/>
          <w:i/>
        </w:rPr>
        <w:t xml:space="preserve">H</w:t>
      </w:r>
      <w:r>
        <w:rPr>
          <w:vertAlign w:val="subscript"/>
        </w:rPr>
        <w:t xml:space="preserve">c2</w:t>
      </w:r>
      <w:r>
        <w:t xml:space="preserve"> </w:t>
      </w:r>
      <w:r>
        <w:t xml:space="preserve">unavailable at all nine grid points. A value is still emitted where the remaining gates</w:t>
      </w:r>
      <w:r>
        <w:t xml:space="preserve"> </w:t>
      </w:r>
      <w:r>
        <w:t xml:space="preserve">pass, but it is a temperature-axis-only output: it is identical at 0.1, 1 and 5 T, because with</w:t>
      </w:r>
      <w:r>
        <w:t xml:space="preserve"> </w:t>
      </w:r>
      <w:r>
        <w:t xml:space="preserve">no critical-field anchor the field term of Eq. (2) cannot be evaluated. Of the 540 refused grid</w:t>
      </w:r>
      <w:r>
        <w:t xml:space="preserve"> </w:t>
      </w:r>
      <w:r>
        <w:t xml:space="preserve">points, 321 carry such a value and 219 carry none.</w:t>
      </w:r>
    </w:p>
    <w:p/>
    <w:p>
      <w:r>
        <w:t>16. Disposition of the 94 field-axis fits</w:t>
      </w:r>
    </w:p>
    <w:p>
      <w:r>
        <w:t>Every field-axis Form 3 fit in the cohort as published, with the reason it is kept or dropped under the repaired anchors and the applicability window of Eq. (1) applied to both axes. Of the 94, 52 are kept and 42 are dropped: 24 on the three papers whose critical-field anchors were withdrawn, 7 for failing the field clause under the repaired anchor, and 11 for a reduced temperature at or above 0.7 under the repaired transition temperature, which the original submission did not impose on this axis. The exponent shown is the value as deposited, before the repairs. Generated from audit/supplement_fit_disposition.csv.</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Source</w:t>
            </w:r>
          </w:p>
        </w:tc>
        <w:tc>
          <w:tcPr>
            <w:tcW w:type="dxa" w:w="1560"/>
          </w:tcPr>
          <w:p>
            <w:r>
              <w:t>Sample</w:t>
            </w:r>
          </w:p>
        </w:tc>
        <w:tc>
          <w:tcPr>
            <w:tcW w:type="dxa" w:w="1560"/>
          </w:tcPr>
          <w:p>
            <w:r>
              <w:t>T (K)</w:t>
            </w:r>
          </w:p>
        </w:tc>
        <w:tc>
          <w:tcPr>
            <w:tcW w:type="dxa" w:w="1560"/>
          </w:tcPr>
          <w:p>
            <w:r>
              <w:t>Deposited beta_H</w:t>
            </w:r>
          </w:p>
        </w:tc>
        <w:tc>
          <w:tcPr>
            <w:tcW w:type="dxa" w:w="1560"/>
          </w:tcPr>
          <w:p>
            <w:r>
              <w:t>Disposition</w:t>
            </w:r>
          </w:p>
        </w:tc>
        <w:tc>
          <w:tcPr>
            <w:tcW w:type="dxa" w:w="1560"/>
          </w:tcPr>
          <w:p>
            <w:r>
              <w:t>Reason</w:t>
            </w:r>
          </w:p>
        </w:tc>
      </w:tr>
      <w:tr>
        <w:tc>
          <w:tcPr>
            <w:tcW w:type="dxa" w:w="1560"/>
          </w:tcPr>
          <w:p>
            <w:r>
              <w:t>MAGLAB_11_6K</w:t>
            </w:r>
          </w:p>
        </w:tc>
        <w:tc>
          <w:tcPr>
            <w:tcW w:type="dxa" w:w="1560"/>
          </w:tcPr>
          <w:p>
            <w:r>
              <w:t>unspecified</w:t>
            </w:r>
          </w:p>
        </w:tc>
        <w:tc>
          <w:tcPr>
            <w:tcW w:type="dxa" w:w="1560"/>
          </w:tcPr>
          <w:p>
            <w:r>
              <w:t>6</w:t>
            </w:r>
          </w:p>
        </w:tc>
        <w:tc>
          <w:tcPr>
            <w:tcW w:type="dxa" w:w="1560"/>
          </w:tcPr>
          <w:p>
            <w:r>
              <w:t>2.219</w:t>
            </w:r>
          </w:p>
        </w:tc>
        <w:tc>
          <w:tcPr>
            <w:tcW w:type="dxa" w:w="1560"/>
          </w:tcPr>
          <w:p>
            <w:r>
              <w:t>kept</w:t>
            </w:r>
          </w:p>
        </w:tc>
        <w:tc>
          <w:tcPr>
            <w:tcW w:type="dxa" w:w="1560"/>
          </w:tcPr>
          <w:p>
            <w:r>
              <w:t>clears the field clause and the temperature window</w:t>
            </w:r>
          </w:p>
        </w:tc>
      </w:tr>
      <w:tr>
        <w:tc>
          <w:tcPr>
            <w:tcW w:type="dxa" w:w="1560"/>
          </w:tcPr>
          <w:p>
            <w:r>
              <w:t>MAGLAB_Ni122_4_2K</w:t>
            </w:r>
          </w:p>
        </w:tc>
        <w:tc>
          <w:tcPr>
            <w:tcW w:type="dxa" w:w="1560"/>
          </w:tcPr>
          <w:p>
            <w:r>
              <w:t>unspecified</w:t>
            </w:r>
          </w:p>
        </w:tc>
        <w:tc>
          <w:tcPr>
            <w:tcW w:type="dxa" w:w="1560"/>
          </w:tcPr>
          <w:p>
            <w:r>
              <w:t>4.2</w:t>
            </w:r>
          </w:p>
        </w:tc>
        <w:tc>
          <w:tcPr>
            <w:tcW w:type="dxa" w:w="1560"/>
          </w:tcPr>
          <w:p>
            <w:r>
              <w:t>2.173</w:t>
            </w:r>
          </w:p>
        </w:tc>
        <w:tc>
          <w:tcPr>
            <w:tcW w:type="dxa" w:w="1560"/>
          </w:tcPr>
          <w:p>
            <w:r>
              <w:t>kept</w:t>
            </w:r>
          </w:p>
        </w:tc>
        <w:tc>
          <w:tcPr>
            <w:tcW w:type="dxa" w:w="1560"/>
          </w:tcPr>
          <w:p>
            <w:r>
              <w:t>clears the field clause and the temperature window</w:t>
            </w:r>
          </w:p>
        </w:tc>
      </w:tr>
      <w:tr>
        <w:tc>
          <w:tcPr>
            <w:tcW w:type="dxa" w:w="1560"/>
          </w:tcPr>
          <w:p>
            <w:r>
              <w:t>MAGLAB_P122_4_2K</w:t>
            </w:r>
          </w:p>
        </w:tc>
        <w:tc>
          <w:tcPr>
            <w:tcW w:type="dxa" w:w="1560"/>
          </w:tcPr>
          <w:p>
            <w:r>
              <w:t>unspecified</w:t>
            </w:r>
          </w:p>
        </w:tc>
        <w:tc>
          <w:tcPr>
            <w:tcW w:type="dxa" w:w="1560"/>
          </w:tcPr>
          <w:p>
            <w:r>
              <w:t>4.2</w:t>
            </w:r>
          </w:p>
        </w:tc>
        <w:tc>
          <w:tcPr>
            <w:tcW w:type="dxa" w:w="1560"/>
          </w:tcPr>
          <w:p>
            <w:r>
              <w:t>3.008</w:t>
            </w:r>
          </w:p>
        </w:tc>
        <w:tc>
          <w:tcPr>
            <w:tcW w:type="dxa" w:w="1560"/>
          </w:tcPr>
          <w:p>
            <w:r>
              <w:t>kept</w:t>
            </w:r>
          </w:p>
        </w:tc>
        <w:tc>
          <w:tcPr>
            <w:tcW w:type="dxa" w:w="1560"/>
          </w:tcPr>
          <w:p>
            <w:r>
              <w:t>clears the field clause and the temperature window</w:t>
            </w:r>
          </w:p>
        </w:tc>
      </w:tr>
      <w:tr>
        <w:tc>
          <w:tcPr>
            <w:tcW w:type="dxa" w:w="1560"/>
          </w:tcPr>
          <w:p>
            <w:r>
              <w:t>MAGLAB_Sm1111_4_2K</w:t>
            </w:r>
          </w:p>
        </w:tc>
        <w:tc>
          <w:tcPr>
            <w:tcW w:type="dxa" w:w="1560"/>
          </w:tcPr>
          <w:p>
            <w:r>
              <w:t>unspecified</w:t>
            </w:r>
          </w:p>
        </w:tc>
        <w:tc>
          <w:tcPr>
            <w:tcW w:type="dxa" w:w="1560"/>
          </w:tcPr>
          <w:p>
            <w:r>
              <w:t>4.2</w:t>
            </w:r>
          </w:p>
        </w:tc>
        <w:tc>
          <w:tcPr>
            <w:tcW w:type="dxa" w:w="1560"/>
          </w:tcPr>
          <w:p>
            <w:r>
              <w:t>0.684</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MgB2_10K</w:t>
            </w:r>
          </w:p>
        </w:tc>
        <w:tc>
          <w:tcPr>
            <w:tcW w:type="dxa" w:w="1560"/>
          </w:tcPr>
          <w:p>
            <w:r>
              <w:t>10</w:t>
            </w:r>
          </w:p>
        </w:tc>
        <w:tc>
          <w:tcPr>
            <w:tcW w:type="dxa" w:w="1560"/>
          </w:tcPr>
          <w:p>
            <w:r>
              <w:t>1.791</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MgB2_15K</w:t>
            </w:r>
          </w:p>
        </w:tc>
        <w:tc>
          <w:tcPr>
            <w:tcW w:type="dxa" w:w="1560"/>
          </w:tcPr>
          <w:p>
            <w:r>
              <w:t>15</w:t>
            </w:r>
          </w:p>
        </w:tc>
        <w:tc>
          <w:tcPr>
            <w:tcW w:type="dxa" w:w="1560"/>
          </w:tcPr>
          <w:p>
            <w:r>
              <w:t>1.777</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MgB2_20K</w:t>
            </w:r>
          </w:p>
        </w:tc>
        <w:tc>
          <w:tcPr>
            <w:tcW w:type="dxa" w:w="1560"/>
          </w:tcPr>
          <w:p>
            <w:r>
              <w:t>20</w:t>
            </w:r>
          </w:p>
        </w:tc>
        <w:tc>
          <w:tcPr>
            <w:tcW w:type="dxa" w:w="1560"/>
          </w:tcPr>
          <w:p>
            <w:r>
              <w:t>1.473</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MgB2_25K</w:t>
            </w:r>
          </w:p>
        </w:tc>
        <w:tc>
          <w:tcPr>
            <w:tcW w:type="dxa" w:w="1560"/>
          </w:tcPr>
          <w:p>
            <w:r>
              <w:t>25</w:t>
            </w:r>
          </w:p>
        </w:tc>
        <w:tc>
          <w:tcPr>
            <w:tcW w:type="dxa" w:w="1560"/>
          </w:tcPr>
          <w:p>
            <w:r>
              <w:t>1.929</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MgB2_30K</w:t>
            </w:r>
          </w:p>
        </w:tc>
        <w:tc>
          <w:tcPr>
            <w:tcW w:type="dxa" w:w="1560"/>
          </w:tcPr>
          <w:p>
            <w:r>
              <w:t>30</w:t>
            </w:r>
          </w:p>
        </w:tc>
        <w:tc>
          <w:tcPr>
            <w:tcW w:type="dxa" w:w="1560"/>
          </w:tcPr>
          <w:p>
            <w:r>
              <w:t>3.186</w:t>
            </w:r>
          </w:p>
        </w:tc>
        <w:tc>
          <w:tcPr>
            <w:tcW w:type="dxa" w:w="1560"/>
          </w:tcPr>
          <w:p>
            <w:r>
              <w:t>dropped</w:t>
            </w:r>
          </w:p>
        </w:tc>
        <w:tc>
          <w:tcPr>
            <w:tcW w:type="dxa" w:w="1560"/>
          </w:tcPr>
          <w:p>
            <w:r>
              <w:t>T/Tc above 0.7 under the repaired Tc</w:t>
            </w:r>
          </w:p>
        </w:tc>
      </w:tr>
      <w:tr>
        <w:tc>
          <w:tcPr>
            <w:tcW w:type="dxa" w:w="1560"/>
          </w:tcPr>
          <w:p>
            <w:r>
              <w:t>elsevier_10.1016_j.jallcom.2023.170146</w:t>
            </w:r>
          </w:p>
        </w:tc>
        <w:tc>
          <w:tcPr>
            <w:tcW w:type="dxa" w:w="1560"/>
          </w:tcPr>
          <w:p>
            <w:r>
              <w:t>MgB2_35K</w:t>
            </w:r>
          </w:p>
        </w:tc>
        <w:tc>
          <w:tcPr>
            <w:tcW w:type="dxa" w:w="1560"/>
          </w:tcPr>
          <w:p>
            <w:r>
              <w:t>35</w:t>
            </w:r>
          </w:p>
        </w:tc>
        <w:tc>
          <w:tcPr>
            <w:tcW w:type="dxa" w:w="1560"/>
          </w:tcPr>
          <w:p>
            <w:r>
              <w:t>1.233</w:t>
            </w:r>
          </w:p>
        </w:tc>
        <w:tc>
          <w:tcPr>
            <w:tcW w:type="dxa" w:w="1560"/>
          </w:tcPr>
          <w:p>
            <w:r>
              <w:t>dropped</w:t>
            </w:r>
          </w:p>
        </w:tc>
        <w:tc>
          <w:tcPr>
            <w:tcW w:type="dxa" w:w="1560"/>
          </w:tcPr>
          <w:p>
            <w:r>
              <w:t>T/Tc above 0.7 under the repaired Tc</w:t>
            </w:r>
          </w:p>
        </w:tc>
      </w:tr>
      <w:tr>
        <w:tc>
          <w:tcPr>
            <w:tcW w:type="dxa" w:w="1560"/>
          </w:tcPr>
          <w:p>
            <w:r>
              <w:t>elsevier_10.1016_j.jallcom.2023.170384</w:t>
            </w:r>
          </w:p>
        </w:tc>
        <w:tc>
          <w:tcPr>
            <w:tcW w:type="dxa" w:w="1560"/>
          </w:tcPr>
          <w:p>
            <w:r>
              <w:t>LaFeAsO_2K</w:t>
            </w:r>
          </w:p>
        </w:tc>
        <w:tc>
          <w:tcPr>
            <w:tcW w:type="dxa" w:w="1560"/>
          </w:tcPr>
          <w:p>
            <w:r>
              <w:t>2</w:t>
            </w:r>
          </w:p>
        </w:tc>
        <w:tc>
          <w:tcPr>
            <w:tcW w:type="dxa" w:w="1560"/>
          </w:tcPr>
          <w:p>
            <w:r>
              <w:t>3.163</w:t>
            </w:r>
          </w:p>
        </w:tc>
        <w:tc>
          <w:tcPr>
            <w:tcW w:type="dxa" w:w="1560"/>
          </w:tcPr>
          <w:p>
            <w:r>
              <w:t>kept</w:t>
            </w:r>
          </w:p>
        </w:tc>
        <w:tc>
          <w:tcPr>
            <w:tcW w:type="dxa" w:w="1560"/>
          </w:tcPr>
          <w:p>
            <w:r>
              <w:t>clears the field clause and the temperature window</w:t>
            </w:r>
          </w:p>
        </w:tc>
      </w:tr>
      <w:tr>
        <w:tc>
          <w:tcPr>
            <w:tcW w:type="dxa" w:w="1560"/>
          </w:tcPr>
          <w:p>
            <w:r>
              <w:t>elsevier_10.1016_j.jallcom.2023.170384</w:t>
            </w:r>
          </w:p>
        </w:tc>
        <w:tc>
          <w:tcPr>
            <w:tcW w:type="dxa" w:w="1560"/>
          </w:tcPr>
          <w:p>
            <w:r>
              <w:t>LaFeAsO_5K</w:t>
            </w:r>
          </w:p>
        </w:tc>
        <w:tc>
          <w:tcPr>
            <w:tcW w:type="dxa" w:w="1560"/>
          </w:tcPr>
          <w:p>
            <w:r>
              <w:t>5</w:t>
            </w:r>
          </w:p>
        </w:tc>
        <w:tc>
          <w:tcPr>
            <w:tcW w:type="dxa" w:w="1560"/>
          </w:tcPr>
          <w:p>
            <w:r>
              <w:t>10.693</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X01</w:t>
            </w:r>
          </w:p>
        </w:tc>
        <w:tc>
          <w:tcPr>
            <w:tcW w:type="dxa" w:w="1560"/>
          </w:tcPr>
          <w:p>
            <w:r>
              <w:t>20</w:t>
            </w:r>
          </w:p>
        </w:tc>
        <w:tc>
          <w:tcPr>
            <w:tcW w:type="dxa" w:w="1560"/>
          </w:tcPr>
          <w:p>
            <w:r>
              <w:t>2.777</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X02</w:t>
            </w:r>
          </w:p>
        </w:tc>
        <w:tc>
          <w:tcPr>
            <w:tcW w:type="dxa" w:w="1560"/>
          </w:tcPr>
          <w:p>
            <w:r>
              <w:t>20</w:t>
            </w:r>
          </w:p>
        </w:tc>
        <w:tc>
          <w:tcPr>
            <w:tcW w:type="dxa" w:w="1560"/>
          </w:tcPr>
          <w:p>
            <w:r>
              <w:t>2.610</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X03</w:t>
            </w:r>
          </w:p>
        </w:tc>
        <w:tc>
          <w:tcPr>
            <w:tcW w:type="dxa" w:w="1560"/>
          </w:tcPr>
          <w:p>
            <w:r>
              <w:t>20</w:t>
            </w:r>
          </w:p>
        </w:tc>
        <w:tc>
          <w:tcPr>
            <w:tcW w:type="dxa" w:w="1560"/>
          </w:tcPr>
          <w:p>
            <w:r>
              <w:t>2.519</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X04</w:t>
            </w:r>
          </w:p>
        </w:tc>
        <w:tc>
          <w:tcPr>
            <w:tcW w:type="dxa" w:w="1560"/>
          </w:tcPr>
          <w:p>
            <w:r>
              <w:t>20</w:t>
            </w:r>
          </w:p>
        </w:tc>
        <w:tc>
          <w:tcPr>
            <w:tcW w:type="dxa" w:w="1560"/>
          </w:tcPr>
          <w:p>
            <w:r>
              <w:t>2.337</w:t>
            </w:r>
          </w:p>
        </w:tc>
        <w:tc>
          <w:tcPr>
            <w:tcW w:type="dxa" w:w="1560"/>
          </w:tcPr>
          <w:p>
            <w:r>
              <w:t>kept</w:t>
            </w:r>
          </w:p>
        </w:tc>
        <w:tc>
          <w:tcPr>
            <w:tcW w:type="dxa" w:w="1560"/>
          </w:tcPr>
          <w:p>
            <w:r>
              <w:t>clears the field clause and the temperature window</w:t>
            </w:r>
          </w:p>
        </w:tc>
      </w:tr>
      <w:tr>
        <w:tc>
          <w:tcPr>
            <w:tcW w:type="dxa" w:w="1560"/>
          </w:tcPr>
          <w:p>
            <w:r>
              <w:t>elsevier_10.1016_j.matpr.2019.05.078</w:t>
            </w:r>
          </w:p>
        </w:tc>
        <w:tc>
          <w:tcPr>
            <w:tcW w:type="dxa" w:w="1560"/>
          </w:tcPr>
          <w:p>
            <w:r>
              <w:t>mono-5K</w:t>
            </w:r>
          </w:p>
        </w:tc>
        <w:tc>
          <w:tcPr>
            <w:tcW w:type="dxa" w:w="1560"/>
          </w:tcPr>
          <w:p>
            <w:r>
              <w:t>5</w:t>
            </w:r>
          </w:p>
        </w:tc>
        <w:tc>
          <w:tcPr>
            <w:tcW w:type="dxa" w:w="1560"/>
          </w:tcPr>
          <w:p>
            <w:r>
              <w:t>1.588</w:t>
            </w:r>
          </w:p>
        </w:tc>
        <w:tc>
          <w:tcPr>
            <w:tcW w:type="dxa" w:w="1560"/>
          </w:tcPr>
          <w:p>
            <w:r>
              <w:t>kept</w:t>
            </w:r>
          </w:p>
        </w:tc>
        <w:tc>
          <w:tcPr>
            <w:tcW w:type="dxa" w:w="1560"/>
          </w:tcPr>
          <w:p>
            <w:r>
              <w:t>clears the field clause and the temperature window</w:t>
            </w:r>
          </w:p>
        </w:tc>
      </w:tr>
      <w:tr>
        <w:tc>
          <w:tcPr>
            <w:tcW w:type="dxa" w:w="1560"/>
          </w:tcPr>
          <w:p>
            <w:r>
              <w:t>elsevier_10.1016_j.matpr.2019.05.078</w:t>
            </w:r>
          </w:p>
        </w:tc>
        <w:tc>
          <w:tcPr>
            <w:tcW w:type="dxa" w:w="1560"/>
          </w:tcPr>
          <w:p>
            <w:r>
              <w:t>multi-5K</w:t>
            </w:r>
          </w:p>
        </w:tc>
        <w:tc>
          <w:tcPr>
            <w:tcW w:type="dxa" w:w="1560"/>
          </w:tcPr>
          <w:p>
            <w:r>
              <w:t>5</w:t>
            </w:r>
          </w:p>
        </w:tc>
        <w:tc>
          <w:tcPr>
            <w:tcW w:type="dxa" w:w="1560"/>
          </w:tcPr>
          <w:p>
            <w:r>
              <w:t>1.664</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4.2</w:t>
            </w:r>
          </w:p>
        </w:tc>
        <w:tc>
          <w:tcPr>
            <w:tcW w:type="dxa" w:w="1560"/>
          </w:tcPr>
          <w:p>
            <w:r>
              <w:t>0.307</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6</w:t>
            </w:r>
          </w:p>
        </w:tc>
        <w:tc>
          <w:tcPr>
            <w:tcW w:type="dxa" w:w="1560"/>
          </w:tcPr>
          <w:p>
            <w:r>
              <w:t>0.338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8</w:t>
            </w:r>
          </w:p>
        </w:tc>
        <w:tc>
          <w:tcPr>
            <w:tcW w:type="dxa" w:w="1560"/>
          </w:tcPr>
          <w:p>
            <w:r>
              <w:t>0.378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10</w:t>
            </w:r>
          </w:p>
        </w:tc>
        <w:tc>
          <w:tcPr>
            <w:tcW w:type="dxa" w:w="1560"/>
          </w:tcPr>
          <w:p>
            <w:r>
              <w:t>0.428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12</w:t>
            </w:r>
          </w:p>
        </w:tc>
        <w:tc>
          <w:tcPr>
            <w:tcW w:type="dxa" w:w="1560"/>
          </w:tcPr>
          <w:p>
            <w:r>
              <w:t>0.495</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14</w:t>
            </w:r>
          </w:p>
        </w:tc>
        <w:tc>
          <w:tcPr>
            <w:tcW w:type="dxa" w:w="1560"/>
          </w:tcPr>
          <w:p>
            <w:r>
              <w:t>0.591</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16</w:t>
            </w:r>
          </w:p>
        </w:tc>
        <w:tc>
          <w:tcPr>
            <w:tcW w:type="dxa" w:w="1560"/>
          </w:tcPr>
          <w:p>
            <w:r>
              <w:t>0.740</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21</w:t>
            </w:r>
          </w:p>
        </w:tc>
        <w:tc>
          <w:tcPr>
            <w:tcW w:type="dxa" w:w="1560"/>
          </w:tcPr>
          <w:p>
            <w:r>
              <w:t>2.032</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4.2</w:t>
            </w:r>
          </w:p>
        </w:tc>
        <w:tc>
          <w:tcPr>
            <w:tcW w:type="dxa" w:w="1560"/>
          </w:tcPr>
          <w:p>
            <w:r>
              <w:t>0.258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6</w:t>
            </w:r>
          </w:p>
        </w:tc>
        <w:tc>
          <w:tcPr>
            <w:tcW w:type="dxa" w:w="1560"/>
          </w:tcPr>
          <w:p>
            <w:r>
              <w:t>0.307</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8</w:t>
            </w:r>
          </w:p>
        </w:tc>
        <w:tc>
          <w:tcPr>
            <w:tcW w:type="dxa" w:w="1560"/>
          </w:tcPr>
          <w:p>
            <w:r>
              <w:t>0.378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10</w:t>
            </w:r>
          </w:p>
        </w:tc>
        <w:tc>
          <w:tcPr>
            <w:tcW w:type="dxa" w:w="1560"/>
          </w:tcPr>
          <w:p>
            <w:r>
              <w:t>0.428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12</w:t>
            </w:r>
          </w:p>
        </w:tc>
        <w:tc>
          <w:tcPr>
            <w:tcW w:type="dxa" w:w="1560"/>
          </w:tcPr>
          <w:p>
            <w:r>
              <w:t>0.495</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14</w:t>
            </w:r>
          </w:p>
        </w:tc>
        <w:tc>
          <w:tcPr>
            <w:tcW w:type="dxa" w:w="1560"/>
          </w:tcPr>
          <w:p>
            <w:r>
              <w:t>0.591</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16</w:t>
            </w:r>
          </w:p>
        </w:tc>
        <w:tc>
          <w:tcPr>
            <w:tcW w:type="dxa" w:w="1560"/>
          </w:tcPr>
          <w:p>
            <w:r>
              <w:t>0.740</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17</w:t>
            </w:r>
          </w:p>
        </w:tc>
        <w:tc>
          <w:tcPr>
            <w:tcW w:type="dxa" w:w="1560"/>
          </w:tcPr>
          <w:p>
            <w:r>
              <w:t>0.789</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18</w:t>
            </w:r>
          </w:p>
        </w:tc>
        <w:tc>
          <w:tcPr>
            <w:tcW w:type="dxa" w:w="1560"/>
          </w:tcPr>
          <w:p>
            <w:r>
              <w:t>0.861</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19</w:t>
            </w:r>
          </w:p>
        </w:tc>
        <w:tc>
          <w:tcPr>
            <w:tcW w:type="dxa" w:w="1560"/>
          </w:tcPr>
          <w:p>
            <w:r>
              <w:t>1.377</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20</w:t>
            </w:r>
          </w:p>
        </w:tc>
        <w:tc>
          <w:tcPr>
            <w:tcW w:type="dxa" w:w="1560"/>
          </w:tcPr>
          <w:p>
            <w:r>
              <w:t>2.599</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21</w:t>
            </w:r>
          </w:p>
        </w:tc>
        <w:tc>
          <w:tcPr>
            <w:tcW w:type="dxa" w:w="1560"/>
          </w:tcPr>
          <w:p>
            <w:r>
              <w:t>2.032</w:t>
            </w:r>
          </w:p>
        </w:tc>
        <w:tc>
          <w:tcPr>
            <w:tcW w:type="dxa" w:w="1560"/>
          </w:tcPr>
          <w:p>
            <w:r>
              <w:t>dropped</w:t>
            </w:r>
          </w:p>
        </w:tc>
        <w:tc>
          <w:tcPr>
            <w:tcW w:type="dxa" w:w="1560"/>
          </w:tcPr>
          <w:p>
            <w:r>
              <w:t>T/Tc above 0.7 under the repaired Tc</w:t>
            </w:r>
          </w:p>
        </w:tc>
      </w:tr>
      <w:tr>
        <w:tc>
          <w:tcPr>
            <w:tcW w:type="dxa" w:w="1560"/>
          </w:tcPr>
          <w:p>
            <w:r>
              <w:t>elsevier_10.1016_j.phpro.2015.06.160</w:t>
            </w:r>
          </w:p>
        </w:tc>
        <w:tc>
          <w:tcPr>
            <w:tcW w:type="dxa" w:w="1560"/>
          </w:tcPr>
          <w:p>
            <w:r>
              <w:t>Ba0.64K0.36Fe2As2</w:t>
            </w:r>
          </w:p>
        </w:tc>
        <w:tc>
          <w:tcPr>
            <w:tcW w:type="dxa" w:w="1560"/>
          </w:tcPr>
          <w:p>
            <w:r>
              <w:t>18</w:t>
            </w:r>
          </w:p>
        </w:tc>
        <w:tc>
          <w:tcPr>
            <w:tcW w:type="dxa" w:w="1560"/>
          </w:tcPr>
          <w:p>
            <w:r>
              <w:t>2.326</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Ba0.64K0.36Fe2As2</w:t>
            </w:r>
          </w:p>
        </w:tc>
        <w:tc>
          <w:tcPr>
            <w:tcW w:type="dxa" w:w="1560"/>
          </w:tcPr>
          <w:p>
            <w:r>
              <w:t>16</w:t>
            </w:r>
          </w:p>
        </w:tc>
        <w:tc>
          <w:tcPr>
            <w:tcW w:type="dxa" w:w="1560"/>
          </w:tcPr>
          <w:p>
            <w:r>
              <w:t>2.357</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15</w:t>
            </w:r>
          </w:p>
        </w:tc>
        <w:tc>
          <w:tcPr>
            <w:tcW w:type="dxa" w:w="1560"/>
          </w:tcPr>
          <w:p>
            <w:r>
              <w:t>2.144</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13</w:t>
            </w:r>
          </w:p>
        </w:tc>
        <w:tc>
          <w:tcPr>
            <w:tcW w:type="dxa" w:w="1560"/>
          </w:tcPr>
          <w:p>
            <w:r>
              <w:t>2.216</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10</w:t>
            </w:r>
          </w:p>
        </w:tc>
        <w:tc>
          <w:tcPr>
            <w:tcW w:type="dxa" w:w="1560"/>
          </w:tcPr>
          <w:p>
            <w:r>
              <w:t>2.069</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7</w:t>
            </w:r>
          </w:p>
        </w:tc>
        <w:tc>
          <w:tcPr>
            <w:tcW w:type="dxa" w:w="1560"/>
          </w:tcPr>
          <w:p>
            <w:r>
              <w:t>2.035</w:t>
            </w:r>
          </w:p>
        </w:tc>
        <w:tc>
          <w:tcPr>
            <w:tcW w:type="dxa" w:w="1560"/>
          </w:tcPr>
          <w:p>
            <w:r>
              <w:t>dropped</w:t>
            </w:r>
          </w:p>
        </w:tc>
        <w:tc>
          <w:tcPr>
            <w:tcW w:type="dxa" w:w="1560"/>
          </w:tcPr>
          <w:p>
            <w:r>
              <w:t>fails the field clause under the repaired anchor</w:t>
            </w:r>
          </w:p>
        </w:tc>
      </w:tr>
      <w:tr>
        <w:tc>
          <w:tcPr>
            <w:tcW w:type="dxa" w:w="1560"/>
          </w:tcPr>
          <w:p>
            <w:r>
              <w:t>elsevier_10.1016_j.physc.2009.05.098</w:t>
            </w:r>
          </w:p>
        </w:tc>
        <w:tc>
          <w:tcPr>
            <w:tcW w:type="dxa" w:w="1560"/>
          </w:tcPr>
          <w:p>
            <w:r>
              <w:t>SmFeAsO0.8F0.2_10K</w:t>
            </w:r>
          </w:p>
        </w:tc>
        <w:tc>
          <w:tcPr>
            <w:tcW w:type="dxa" w:w="1560"/>
          </w:tcPr>
          <w:p>
            <w:r>
              <w:t>10</w:t>
            </w:r>
          </w:p>
        </w:tc>
        <w:tc>
          <w:tcPr>
            <w:tcW w:type="dxa" w:w="1560"/>
          </w:tcPr>
          <w:p>
            <w:r>
              <w:t>0.819</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SmFeAsO0.8F0.2_15K</w:t>
            </w:r>
          </w:p>
        </w:tc>
        <w:tc>
          <w:tcPr>
            <w:tcW w:type="dxa" w:w="1560"/>
          </w:tcPr>
          <w:p>
            <w:r>
              <w:t>15</w:t>
            </w:r>
          </w:p>
        </w:tc>
        <w:tc>
          <w:tcPr>
            <w:tcW w:type="dxa" w:w="1560"/>
          </w:tcPr>
          <w:p>
            <w:r>
              <w:t>0.999</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SmFeAsO0.8F0.2_20K</w:t>
            </w:r>
          </w:p>
        </w:tc>
        <w:tc>
          <w:tcPr>
            <w:tcW w:type="dxa" w:w="1560"/>
          </w:tcPr>
          <w:p>
            <w:r>
              <w:t>20</w:t>
            </w:r>
          </w:p>
        </w:tc>
        <w:tc>
          <w:tcPr>
            <w:tcW w:type="dxa" w:w="1560"/>
          </w:tcPr>
          <w:p>
            <w:r>
              <w:t>1.746</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SmFeAsO0.8F0.2_25K</w:t>
            </w:r>
          </w:p>
        </w:tc>
        <w:tc>
          <w:tcPr>
            <w:tcW w:type="dxa" w:w="1560"/>
          </w:tcPr>
          <w:p>
            <w:r>
              <w:t>25</w:t>
            </w:r>
          </w:p>
        </w:tc>
        <w:tc>
          <w:tcPr>
            <w:tcW w:type="dxa" w:w="1560"/>
          </w:tcPr>
          <w:p>
            <w:r>
              <w:t>3.143</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SmFeAsO0.8F0.2_2K</w:t>
            </w:r>
          </w:p>
        </w:tc>
        <w:tc>
          <w:tcPr>
            <w:tcW w:type="dxa" w:w="1560"/>
          </w:tcPr>
          <w:p>
            <w:r>
              <w:t>2</w:t>
            </w:r>
          </w:p>
        </w:tc>
        <w:tc>
          <w:tcPr>
            <w:tcW w:type="dxa" w:w="1560"/>
          </w:tcPr>
          <w:p>
            <w:r>
              <w:t>1.252</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SmFeAsO0.8F0.2_30K</w:t>
            </w:r>
          </w:p>
        </w:tc>
        <w:tc>
          <w:tcPr>
            <w:tcW w:type="dxa" w:w="1560"/>
          </w:tcPr>
          <w:p>
            <w:r>
              <w:t>30</w:t>
            </w:r>
          </w:p>
        </w:tc>
        <w:tc>
          <w:tcPr>
            <w:tcW w:type="dxa" w:w="1560"/>
          </w:tcPr>
          <w:p>
            <w:r>
              <w:t>5.697</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SmFeAsO0.8F0.2_35K</w:t>
            </w:r>
          </w:p>
        </w:tc>
        <w:tc>
          <w:tcPr>
            <w:tcW w:type="dxa" w:w="1560"/>
          </w:tcPr>
          <w:p>
            <w:r>
              <w:t>35</w:t>
            </w:r>
          </w:p>
        </w:tc>
        <w:tc>
          <w:tcPr>
            <w:tcW w:type="dxa" w:w="1560"/>
          </w:tcPr>
          <w:p>
            <w:r>
              <w:t>12.145</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SmFeAsO0.8F0.2_5K</w:t>
            </w:r>
          </w:p>
        </w:tc>
        <w:tc>
          <w:tcPr>
            <w:tcW w:type="dxa" w:w="1560"/>
          </w:tcPr>
          <w:p>
            <w:r>
              <w:t>5</w:t>
            </w:r>
          </w:p>
        </w:tc>
        <w:tc>
          <w:tcPr>
            <w:tcW w:type="dxa" w:w="1560"/>
          </w:tcPr>
          <w:p>
            <w:r>
              <w:t>1.226</w:t>
            </w:r>
          </w:p>
        </w:tc>
        <w:tc>
          <w:tcPr>
            <w:tcW w:type="dxa" w:w="1560"/>
          </w:tcPr>
          <w:p>
            <w:r>
              <w:t>dropped</w:t>
            </w:r>
          </w:p>
        </w:tc>
        <w:tc>
          <w:tcPr>
            <w:tcW w:type="dxa" w:w="1560"/>
          </w:tcPr>
          <w:p>
            <w:r>
              <w:t>paper withdrawn: physc.2009.05.098</w:t>
            </w:r>
          </w:p>
        </w:tc>
      </w:tr>
      <w:tr>
        <w:tc>
          <w:tcPr>
            <w:tcW w:type="dxa" w:w="1560"/>
          </w:tcPr>
          <w:p>
            <w:r>
              <w:t>elsevier_10.1016_j.physc.2009.11.051</w:t>
            </w:r>
          </w:p>
        </w:tc>
        <w:tc>
          <w:tcPr>
            <w:tcW w:type="dxa" w:w="1560"/>
          </w:tcPr>
          <w:p>
            <w:r>
              <w:t>irradiated</w:t>
            </w:r>
          </w:p>
        </w:tc>
        <w:tc>
          <w:tcPr>
            <w:tcW w:type="dxa" w:w="1560"/>
          </w:tcPr>
          <w:p>
            <w:r>
              <w:t>2</w:t>
            </w:r>
          </w:p>
        </w:tc>
        <w:tc>
          <w:tcPr>
            <w:tcW w:type="dxa" w:w="1560"/>
          </w:tcPr>
          <w:p>
            <w:r>
              <w:t>0.065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10</w:t>
            </w:r>
          </w:p>
        </w:tc>
        <w:tc>
          <w:tcPr>
            <w:tcW w:type="dxa" w:w="1560"/>
          </w:tcPr>
          <w:p>
            <w:r>
              <w:t>0.093</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15</w:t>
            </w:r>
          </w:p>
        </w:tc>
        <w:tc>
          <w:tcPr>
            <w:tcW w:type="dxa" w:w="1560"/>
          </w:tcPr>
          <w:p>
            <w:r>
              <w:t>0.145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20</w:t>
            </w:r>
          </w:p>
        </w:tc>
        <w:tc>
          <w:tcPr>
            <w:tcW w:type="dxa" w:w="1560"/>
          </w:tcPr>
          <w:p>
            <w:r>
              <w:t>0.044</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2</w:t>
            </w:r>
          </w:p>
        </w:tc>
        <w:tc>
          <w:tcPr>
            <w:tcW w:type="dxa" w:w="1560"/>
          </w:tcPr>
          <w:p>
            <w:r>
              <w:t>0.113</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10</w:t>
            </w:r>
          </w:p>
        </w:tc>
        <w:tc>
          <w:tcPr>
            <w:tcW w:type="dxa" w:w="1560"/>
          </w:tcPr>
          <w:p>
            <w:r>
              <w:t>0.125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15</w:t>
            </w:r>
          </w:p>
        </w:tc>
        <w:tc>
          <w:tcPr>
            <w:tcW w:type="dxa" w:w="1560"/>
          </w:tcPr>
          <w:p>
            <w:r>
              <w:t>0.221</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20</w:t>
            </w:r>
          </w:p>
        </w:tc>
        <w:tc>
          <w:tcPr>
            <w:tcW w:type="dxa" w:w="1560"/>
          </w:tcPr>
          <w:p>
            <w:r>
              <w:t>0.077</w:t>
            </w:r>
          </w:p>
        </w:tc>
        <w:tc>
          <w:tcPr>
            <w:tcW w:type="dxa" w:w="1560"/>
          </w:tcPr>
          <w:p>
            <w:r>
              <w:t>dropped</w:t>
            </w:r>
          </w:p>
        </w:tc>
        <w:tc>
          <w:tcPr>
            <w:tcW w:type="dxa" w:w="1560"/>
          </w:tcPr>
          <w:p>
            <w:r>
              <w:t>paper withdrawn: physc.2009.11.051</w:t>
            </w:r>
          </w:p>
        </w:tc>
      </w:tr>
      <w:tr>
        <w:tc>
          <w:tcPr>
            <w:tcW w:type="dxa" w:w="1560"/>
          </w:tcPr>
          <w:p>
            <w:r>
              <w:t>elsevier_10.1016_j.physc.2010.05.048</w:t>
            </w:r>
          </w:p>
        </w:tc>
        <w:tc>
          <w:tcPr>
            <w:tcW w:type="dxa" w:w="1560"/>
          </w:tcPr>
          <w:p>
            <w:r>
              <w:t>FeTe0.59Se0.41</w:t>
            </w:r>
          </w:p>
        </w:tc>
        <w:tc>
          <w:tcPr>
            <w:tcW w:type="dxa" w:w="1560"/>
          </w:tcPr>
          <w:p>
            <w:r>
              <w:t>2</w:t>
            </w:r>
          </w:p>
        </w:tc>
        <w:tc>
          <w:tcPr>
            <w:tcW w:type="dxa" w:w="1560"/>
          </w:tcPr>
          <w:p>
            <w:r>
              <w:t>0.107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3</w:t>
            </w:r>
          </w:p>
        </w:tc>
        <w:tc>
          <w:tcPr>
            <w:tcW w:type="dxa" w:w="1560"/>
          </w:tcPr>
          <w:p>
            <w:r>
              <w:t>0.222</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4</w:t>
            </w:r>
          </w:p>
        </w:tc>
        <w:tc>
          <w:tcPr>
            <w:tcW w:type="dxa" w:w="1560"/>
          </w:tcPr>
          <w:p>
            <w:r>
              <w:t>0.278</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5</w:t>
            </w:r>
          </w:p>
        </w:tc>
        <w:tc>
          <w:tcPr>
            <w:tcW w:type="dxa" w:w="1560"/>
          </w:tcPr>
          <w:p>
            <w:r>
              <w:t>0.417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6</w:t>
            </w:r>
          </w:p>
        </w:tc>
        <w:tc>
          <w:tcPr>
            <w:tcW w:type="dxa" w:w="1560"/>
          </w:tcPr>
          <w:p>
            <w:r>
              <w:t>0.582</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7</w:t>
            </w:r>
          </w:p>
        </w:tc>
        <w:tc>
          <w:tcPr>
            <w:tcW w:type="dxa" w:w="1560"/>
          </w:tcPr>
          <w:p>
            <w:r>
              <w:t>0.450</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8</w:t>
            </w:r>
          </w:p>
        </w:tc>
        <w:tc>
          <w:tcPr>
            <w:tcW w:type="dxa" w:w="1560"/>
          </w:tcPr>
          <w:p>
            <w:r>
              <w:t>0.907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9</w:t>
            </w:r>
          </w:p>
        </w:tc>
        <w:tc>
          <w:tcPr>
            <w:tcW w:type="dxa" w:w="1560"/>
          </w:tcPr>
          <w:p>
            <w:r>
              <w:t>1.401</w:t>
            </w:r>
          </w:p>
        </w:tc>
        <w:tc>
          <w:tcPr>
            <w:tcW w:type="dxa" w:w="1560"/>
          </w:tcPr>
          <w:p>
            <w:r>
              <w:t>dropped</w:t>
            </w:r>
          </w:p>
        </w:tc>
        <w:tc>
          <w:tcPr>
            <w:tcW w:type="dxa" w:w="1560"/>
          </w:tcPr>
          <w:p>
            <w:r>
              <w:t>paper withdrawn: physc.2010.05.048</w:t>
            </w:r>
          </w:p>
        </w:tc>
      </w:tr>
      <w:tr>
        <w:tc>
          <w:tcPr>
            <w:tcW w:type="dxa" w:w="1560"/>
          </w:tcPr>
          <w:p>
            <w:r>
              <w:t>1002.0208v2.pdf</w:t>
            </w:r>
          </w:p>
        </w:tc>
        <w:tc>
          <w:tcPr>
            <w:tcW w:type="dxa" w:w="1560"/>
          </w:tcPr>
          <w:p>
            <w:r>
              <w:t>PrFeAsO0.6F0.12_10K</w:t>
            </w:r>
          </w:p>
        </w:tc>
        <w:tc>
          <w:tcPr>
            <w:tcW w:type="dxa" w:w="1560"/>
          </w:tcPr>
          <w:p>
            <w:r>
              <w:t>10</w:t>
            </w:r>
          </w:p>
        </w:tc>
        <w:tc>
          <w:tcPr>
            <w:tcW w:type="dxa" w:w="1560"/>
          </w:tcPr>
          <w:p>
            <w:r>
              <w:t>0.373</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PrFeAsO0.6F0.12_15K</w:t>
            </w:r>
          </w:p>
        </w:tc>
        <w:tc>
          <w:tcPr>
            <w:tcW w:type="dxa" w:w="1560"/>
          </w:tcPr>
          <w:p>
            <w:r>
              <w:t>15</w:t>
            </w:r>
          </w:p>
        </w:tc>
        <w:tc>
          <w:tcPr>
            <w:tcW w:type="dxa" w:w="1560"/>
          </w:tcPr>
          <w:p>
            <w:r>
              <w:t>0.250</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PrFeAsO0.6F0.12_20K</w:t>
            </w:r>
          </w:p>
        </w:tc>
        <w:tc>
          <w:tcPr>
            <w:tcW w:type="dxa" w:w="1560"/>
          </w:tcPr>
          <w:p>
            <w:r>
              <w:t>20</w:t>
            </w:r>
          </w:p>
        </w:tc>
        <w:tc>
          <w:tcPr>
            <w:tcW w:type="dxa" w:w="1560"/>
          </w:tcPr>
          <w:p>
            <w:r>
              <w:t>0.161</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PrFeAsO0.6F0.12_25K</w:t>
            </w:r>
          </w:p>
        </w:tc>
        <w:tc>
          <w:tcPr>
            <w:tcW w:type="dxa" w:w="1560"/>
          </w:tcPr>
          <w:p>
            <w:r>
              <w:t>25</w:t>
            </w:r>
          </w:p>
        </w:tc>
        <w:tc>
          <w:tcPr>
            <w:tcW w:type="dxa" w:w="1560"/>
          </w:tcPr>
          <w:p>
            <w:r>
              <w:t>0.099</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PrFeAsO0.6F0.12_30K</w:t>
            </w:r>
          </w:p>
        </w:tc>
        <w:tc>
          <w:tcPr>
            <w:tcW w:type="dxa" w:w="1560"/>
          </w:tcPr>
          <w:p>
            <w:r>
              <w:t>30</w:t>
            </w:r>
          </w:p>
        </w:tc>
        <w:tc>
          <w:tcPr>
            <w:tcW w:type="dxa" w:w="1560"/>
          </w:tcPr>
          <w:p>
            <w:r>
              <w:t>0.341</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PrFeAsO0.6F0.12_7K</w:t>
            </w:r>
          </w:p>
        </w:tc>
        <w:tc>
          <w:tcPr>
            <w:tcW w:type="dxa" w:w="1560"/>
          </w:tcPr>
          <w:p>
            <w:r>
              <w:t>7</w:t>
            </w:r>
          </w:p>
        </w:tc>
        <w:tc>
          <w:tcPr>
            <w:tcW w:type="dxa" w:w="1560"/>
          </w:tcPr>
          <w:p>
            <w:r>
              <w:t>1.015</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MgB(2-x)Cx_x_0_0386_4_2K</w:t>
            </w:r>
          </w:p>
        </w:tc>
        <w:tc>
          <w:tcPr>
            <w:tcW w:type="dxa" w:w="1560"/>
          </w:tcPr>
          <w:p>
            <w:r>
              <w:t>4.2</w:t>
            </w:r>
          </w:p>
        </w:tc>
        <w:tc>
          <w:tcPr>
            <w:tcW w:type="dxa" w:w="1560"/>
          </w:tcPr>
          <w:p>
            <w:r>
              <w:t>2.354</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MgB(2-x)Cx_x_0_1202_4_2K</w:t>
            </w:r>
          </w:p>
        </w:tc>
        <w:tc>
          <w:tcPr>
            <w:tcW w:type="dxa" w:w="1560"/>
          </w:tcPr>
          <w:p>
            <w:r>
              <w:t>4.2</w:t>
            </w:r>
          </w:p>
        </w:tc>
        <w:tc>
          <w:tcPr>
            <w:tcW w:type="dxa" w:w="1560"/>
          </w:tcPr>
          <w:p>
            <w:r>
              <w:t>1.475</w:t>
            </w:r>
          </w:p>
        </w:tc>
        <w:tc>
          <w:tcPr>
            <w:tcW w:type="dxa" w:w="1560"/>
          </w:tcPr>
          <w:p>
            <w:r>
              <w:t>dropped</w:t>
            </w:r>
          </w:p>
        </w:tc>
        <w:tc>
          <w:tcPr>
            <w:tcW w:type="dxa" w:w="1560"/>
          </w:tcPr>
          <w:p>
            <w:r>
              <w:t>fails the field clause under the repaired anchor</w:t>
            </w:r>
          </w:p>
        </w:tc>
      </w:tr>
      <w:tr>
        <w:tc>
          <w:tcPr>
            <w:tcW w:type="dxa" w:w="1560"/>
          </w:tcPr>
          <w:p>
            <w:r>
              <w:t>elsevier_10.1016_j.physc.2013.04.060</w:t>
            </w:r>
          </w:p>
        </w:tc>
        <w:tc>
          <w:tcPr>
            <w:tcW w:type="dxa" w:w="1560"/>
          </w:tcPr>
          <w:p>
            <w:r>
              <w:t>MgB2_4_2K</w:t>
            </w:r>
          </w:p>
        </w:tc>
        <w:tc>
          <w:tcPr>
            <w:tcW w:type="dxa" w:w="1560"/>
          </w:tcPr>
          <w:p>
            <w:r>
              <w:t>4.2</w:t>
            </w:r>
          </w:p>
        </w:tc>
        <w:tc>
          <w:tcPr>
            <w:tcW w:type="dxa" w:w="1560"/>
          </w:tcPr>
          <w:p>
            <w:r>
              <w:t>3.800</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Undoped_MgB2_10K</w:t>
            </w:r>
          </w:p>
        </w:tc>
        <w:tc>
          <w:tcPr>
            <w:tcW w:type="dxa" w:w="1560"/>
          </w:tcPr>
          <w:p>
            <w:r>
              <w:t>10</w:t>
            </w:r>
          </w:p>
        </w:tc>
        <w:tc>
          <w:tcPr>
            <w:tcW w:type="dxa" w:w="1560"/>
          </w:tcPr>
          <w:p>
            <w:r>
              <w:t>4.779</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Ag_Doped_MgB2_10K</w:t>
            </w:r>
          </w:p>
        </w:tc>
        <w:tc>
          <w:tcPr>
            <w:tcW w:type="dxa" w:w="1560"/>
          </w:tcPr>
          <w:p>
            <w:r>
              <w:t>10</w:t>
            </w:r>
          </w:p>
        </w:tc>
        <w:tc>
          <w:tcPr>
            <w:tcW w:type="dxa" w:w="1560"/>
          </w:tcPr>
          <w:p>
            <w:r>
              <w:t>2.091</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SiC_Doped_MgB2_10K</w:t>
            </w:r>
          </w:p>
        </w:tc>
        <w:tc>
          <w:tcPr>
            <w:tcW w:type="dxa" w:w="1560"/>
          </w:tcPr>
          <w:p>
            <w:r>
              <w:t>10</w:t>
            </w:r>
          </w:p>
        </w:tc>
        <w:tc>
          <w:tcPr>
            <w:tcW w:type="dxa" w:w="1560"/>
          </w:tcPr>
          <w:p>
            <w:r>
              <w:t>1.562</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TiC_Doped_MgB2_10K</w:t>
            </w:r>
          </w:p>
        </w:tc>
        <w:tc>
          <w:tcPr>
            <w:tcW w:type="dxa" w:w="1560"/>
          </w:tcPr>
          <w:p>
            <w:r>
              <w:t>10</w:t>
            </w:r>
          </w:p>
        </w:tc>
        <w:tc>
          <w:tcPr>
            <w:tcW w:type="dxa" w:w="1560"/>
          </w:tcPr>
          <w:p>
            <w:r>
              <w:t>3.938</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ZrB2_Doped_MgB2_10K</w:t>
            </w:r>
          </w:p>
        </w:tc>
        <w:tc>
          <w:tcPr>
            <w:tcW w:type="dxa" w:w="1560"/>
          </w:tcPr>
          <w:p>
            <w:r>
              <w:t>10</w:t>
            </w:r>
          </w:p>
        </w:tc>
        <w:tc>
          <w:tcPr>
            <w:tcW w:type="dxa" w:w="1560"/>
          </w:tcPr>
          <w:p>
            <w:r>
              <w:t>2.558</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5</w:t>
            </w:r>
          </w:p>
        </w:tc>
        <w:tc>
          <w:tcPr>
            <w:tcW w:type="dxa" w:w="1560"/>
          </w:tcPr>
          <w:p>
            <w:r>
              <w:t>1.396</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7</w:t>
            </w:r>
          </w:p>
        </w:tc>
        <w:tc>
          <w:tcPr>
            <w:tcW w:type="dxa" w:w="1560"/>
          </w:tcPr>
          <w:p>
            <w:r>
              <w:t>1.713</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10</w:t>
            </w:r>
          </w:p>
        </w:tc>
        <w:tc>
          <w:tcPr>
            <w:tcW w:type="dxa" w:w="1560"/>
          </w:tcPr>
          <w:p>
            <w:r>
              <w:t>2.148</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x=1%</w:t>
            </w:r>
          </w:p>
        </w:tc>
        <w:tc>
          <w:tcPr>
            <w:tcW w:type="dxa" w:w="1560"/>
          </w:tcPr>
          <w:p>
            <w:r>
              <w:t>5</w:t>
            </w:r>
          </w:p>
        </w:tc>
        <w:tc>
          <w:tcPr>
            <w:tcW w:type="dxa" w:w="1560"/>
          </w:tcPr>
          <w:p>
            <w:r>
              <w:t>1.194</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x=1%</w:t>
            </w:r>
          </w:p>
        </w:tc>
        <w:tc>
          <w:tcPr>
            <w:tcW w:type="dxa" w:w="1560"/>
          </w:tcPr>
          <w:p>
            <w:r>
              <w:t>7</w:t>
            </w:r>
          </w:p>
        </w:tc>
        <w:tc>
          <w:tcPr>
            <w:tcW w:type="dxa" w:w="1560"/>
          </w:tcPr>
          <w:p>
            <w:r>
              <w:t>1.346</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x=1%</w:t>
            </w:r>
          </w:p>
        </w:tc>
        <w:tc>
          <w:tcPr>
            <w:tcW w:type="dxa" w:w="1560"/>
          </w:tcPr>
          <w:p>
            <w:r>
              <w:t>10</w:t>
            </w:r>
          </w:p>
        </w:tc>
        <w:tc>
          <w:tcPr>
            <w:tcW w:type="dxa" w:w="1560"/>
          </w:tcPr>
          <w:p>
            <w:r>
              <w:t>1.546</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x=2%</w:t>
            </w:r>
          </w:p>
        </w:tc>
        <w:tc>
          <w:tcPr>
            <w:tcW w:type="dxa" w:w="1560"/>
          </w:tcPr>
          <w:p>
            <w:r>
              <w:t>5</w:t>
            </w:r>
          </w:p>
        </w:tc>
        <w:tc>
          <w:tcPr>
            <w:tcW w:type="dxa" w:w="1560"/>
          </w:tcPr>
          <w:p>
            <w:r>
              <w:t>1.444</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x=2%</w:t>
            </w:r>
          </w:p>
        </w:tc>
        <w:tc>
          <w:tcPr>
            <w:tcW w:type="dxa" w:w="1560"/>
          </w:tcPr>
          <w:p>
            <w:r>
              <w:t>7</w:t>
            </w:r>
          </w:p>
        </w:tc>
        <w:tc>
          <w:tcPr>
            <w:tcW w:type="dxa" w:w="1560"/>
          </w:tcPr>
          <w:p>
            <w:r>
              <w:t>1.605</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x=2%</w:t>
            </w:r>
          </w:p>
        </w:tc>
        <w:tc>
          <w:tcPr>
            <w:tcW w:type="dxa" w:w="1560"/>
          </w:tcPr>
          <w:p>
            <w:r>
              <w:t>10</w:t>
            </w:r>
          </w:p>
        </w:tc>
        <w:tc>
          <w:tcPr>
            <w:tcW w:type="dxa" w:w="1560"/>
          </w:tcPr>
          <w:p>
            <w:r>
              <w:t>1.482</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x=3%</w:t>
            </w:r>
          </w:p>
        </w:tc>
        <w:tc>
          <w:tcPr>
            <w:tcW w:type="dxa" w:w="1560"/>
          </w:tcPr>
          <w:p>
            <w:r>
              <w:t>5</w:t>
            </w:r>
          </w:p>
        </w:tc>
        <w:tc>
          <w:tcPr>
            <w:tcW w:type="dxa" w:w="1560"/>
          </w:tcPr>
          <w:p>
            <w:r>
              <w:t>1.789</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x=3%</w:t>
            </w:r>
          </w:p>
        </w:tc>
        <w:tc>
          <w:tcPr>
            <w:tcW w:type="dxa" w:w="1560"/>
          </w:tcPr>
          <w:p>
            <w:r>
              <w:t>7</w:t>
            </w:r>
          </w:p>
        </w:tc>
        <w:tc>
          <w:tcPr>
            <w:tcW w:type="dxa" w:w="1560"/>
          </w:tcPr>
          <w:p>
            <w:r>
              <w:t>1.601</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x=3%</w:t>
            </w:r>
          </w:p>
        </w:tc>
        <w:tc>
          <w:tcPr>
            <w:tcW w:type="dxa" w:w="1560"/>
          </w:tcPr>
          <w:p>
            <w:r>
              <w:t>10</w:t>
            </w:r>
          </w:p>
        </w:tc>
        <w:tc>
          <w:tcPr>
            <w:tcW w:type="dxa" w:w="1560"/>
          </w:tcPr>
          <w:p>
            <w:r>
              <w:t>1.857</w:t>
            </w:r>
          </w:p>
        </w:tc>
        <w:tc>
          <w:tcPr>
            <w:tcW w:type="dxa" w:w="1560"/>
          </w:tcPr>
          <w:p>
            <w:r>
              <w:t>dropped</w:t>
            </w:r>
          </w:p>
        </w:tc>
        <w:tc>
          <w:tcPr>
            <w:tcW w:type="dxa" w:w="1560"/>
          </w:tcPr>
          <w:p>
            <w:r>
              <w:t>T/Tc above 0.7 under the repaired Tc</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