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that figure was compared against in the previous version, because we could give no construction for it, and Sec. III.D now tests the scaling claim directly instead: the reduced coordinates carry no more structure than the same grid rotated to a random angle, and unnormalized temperature and applied field organize the same records better by isolating compounds. The conditioning claim rests on the temperature-axis separation reported in Sec. III.C, not on the variance-decomposition diagnostic and not on the error ratio Referee A questioned; the diagnostic sets the conditioning rule per family and is reported with the clustered-null floors that prevent it from establishing the distinction.</w:t>
      </w:r>
      <w:r>
        <w:t xml:space="preserve"/>
      </w:r>
      <w:r>
        <w:t xml:space="preserve"/>
      </w:r>
      <w:r>
        <w:t xml:space="preserve"/>
      </w:r>
      <w:r>
        <w:t xml:space="preserve"/>
      </w:r>
      <w:r>
        <w:t xml:space="preserve"/>
      </w:r>
      <w:r>
        <w:t xml:space="preserve"/>
      </w:r>
      <w:r>
        <w:t xml:space="preserve"/>
      </w:r>
      <w:r>
        <w:t xml:space="preserve"/>
      </w:r>
      <w:r>
        <w:t xml:space="preserve"/>
      </w:r>
      <w:r>
        <w:t xml:space="preserve">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The tables are:</w:t>
      </w:r>
      <w:r>
        <w:t xml:space="preserve"/>
      </w:r>
      <w:r>
        <w:t xml:space="preserve">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 labels,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we can no longer report a fold improvement at all, and we give the errors instead. On the fits passing physicality the mean absolute error in the exponent is 1.19 without conditioning and 0.55 with it; across all seven families carrying a descriptor it is 12.3 and 14.9, which is conditioning doing worse than not conditioning. An earlier version of this reply quoted 1.07, 2.24 and 1.83 for the three cohorts. We withdraw those three figures because they repeat the defect they were introduced to replace. The sample-form-conditional scope is undefined for the MgB2 class, since once the cuprate families are gated out no other family contributes a bulk or wire fit, so its error is missing and the mean silently skips it: 2.24 and 1.83 divide a four-family numerator by a three-family denominator, exactly the mismatched-cohort error we identify above as the reason the 23-fold was wrong. Matched over the families the predictor can actually score they are 2.17 and 2.11. They were also the lowest of four ways of forming the conditional prediction, and the lowest is not the same one on every cohort, so the three figures were not a common quantity. Nor is the protocol stable enough to carry a ratio at this scope. On the 52 field-axis fits that survive the anchor repairs and the fitting protocol there are four substructure families and therefore four folds, the unconditioned stage is a two-parameter fit on three training points in each, and removing any single family moves the ratio between 0.74 and 550. The referee's objection is therefore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The conditioning claim no longer rests on this ratio at all, and we have to be careful about what we move it onto. An earlier version of this reply rested it on the variance-decomposition diagnostic. That will not do, because we concede above that the diagnostic cannot establish the regime distinction it is used to draw: sample form is very nearly a relabelling of source paper in this corpus, and under the only null that respects that structure no family cell can reach a probability below 0.10.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What the claim rests on is the temperature axis, and the evidence is the permutation test reported under the changes we made on our own, below: with source papers as the unit and the substructure label shuffled between them, the family accounts for a rising fraction of the between-paper variance in the temperature exponent as the anchors are corrected, while on the field axis it accounts for essentially none under either version. We do not restate those figures here. The point for this objection is only that the conditioning claim is a temperature-axis claim, and that neither the ratio the referee questioned nor the sample-form diagnostic carries it. We had also described it as the one result that improved under every correction; the audit section below withdraws that description and gives the full history in its place.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Our own note on those withdrawals records that the screen which selected them is not independent of the exponent, and that it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themselves do not reproduce from their own figures: of the fourteen we could score against a pixel trace, none does, at a median ratio of 0.42. On the exponents rebuilt from those traces, which are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on this cohort that objection can be settled by enumeration rather than by sampling: the eight compounds admit 966 distinct ways of forming three families, four of them reach the observed separation, and the exact probability is 0.0041, or 0.0083 with one observation per compound. One of the alternative groupings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it. A final pass over every reported quantity, made after the audit above, found five more defects and we correct all of them. The adoption threshold of 30% that our universality claim was compared against had no construction anywhere in our analysis, and the quantity its own defining sentence named as the benchmark was twenty times smaller. It is withdrawn, and Sec. III.D now tests the scaling claim directly instead, against coordinates chosen to carry no physics. Stage 3's error of 0.84 was described as a leave-one-substructure-out result and is not one: the held-out family predicted itself, which is the same defect we concede above for Stages 1 and 2, from the same run. Under genuine withholding it is 0.816. The propagated uncertainty of 0.29 dex used a temperature-exponent scatter that does not reproduce from our own deposit and that predates the anchor repair; on the repaired exponent it is 0.27 dex, and the accompanying statement that a correlation between the terms would make it a lower bound is wrong for this functional form, so we now claim no bound. Table II's holdout margin does not separate Form 3 from Form 2 once the three forms are scored on identical rows and the same compounds, so Sec. II.C now adopts Form 3 for the separability the rest of the paper requires and reports the comparison as it falls. And the per-family parameters behind Figure 5 could not be regenerated from the deposit at all, because the module that produced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which is the same unit repair we describe above applied where we had missed it. The propagated uncertainty is 0.27 dex rather than 0.29. The fifteen MgB2 temperature fits are described as the deposited file has them, six of them resting on three points rather than one, and the fit we reported with a root-mean-square residual of 6.3 has one of 6.3 times ten to the minus fourteen. The Supplemental Material now carries the disposition of all 94 field-axis fits individually, which an earlier version of this letter said it did.</w:t>
      </w:r>
      <w:r>
        <w:t xml:space="preserve"/>
      </w:r>
      <w:r>
        <w:t xml:space="preserve"/>
      </w:r>
      <w:r>
        <w:t xml:space="preserve"/>
      </w:r>
      <w:r>
        <w:t>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