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The conditioning claim no longer rests on this ratio at all, and we have to be careful about what we move it onto. An earlier version of this reply rested it on the variance-decomposition diagnostic. That will not do, because we concede above that the diagnostic cannot establish the regime distinction it is used to draw: sample form is very nearly a relabelling of source paper in this corpus, and under the only null that respects that structure no family cell can reach a probability below 0.10.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What the claim rests on is the temperature axis, and we should have said so in our first reply rather than leaving the referee to find the strongest result unstated. Taking source papers as the unit and shuffling the substructure label between them, the fraction of between-paper variance in the fitted temperature exponent that the family label accounts for is 0.524, with a permutation probability of 0.007. On the papers shared by the cohorts before and after the transition-temperature repairs it rises from 0.436 to 0.524 and the probability falls from 0.016 to 0.007, so the repairs strengthen it rather than producing it. That is a family-level result on the axis whose critical scale is directly reported, and it is the one claim in this paper that improved under every correction we made. The field axis carries none of it, and we now say so plainly rather than reporting a weaker version. The same statistic on the field exponent is 0.055 with a probability of 0.93 on the cohort as published and 0.038 with 0.98 on the 52 fits our stated protocol admits; matched on the twelve papers those two share, 0.031 against 0.038. The field exponent separates no substructure family on any cohort we can construct. Together with the per-family errors reversing when the anchors are repaired, that is why Table III now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