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on the repaired anchor cohort sample form explains 81% of the within-family variance in the critical-current anchor for iron chalcogenide 11-type materials, on five physical samples, 37% for iron pnictide 122-type on five, and 4% for MgB2-class on 13, against 37%, 49% and 12% on the anchors as deposited.</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These regimes set the conditioning rule the predictor follows. A holdout that withholds every measurement of a source paper puts a number on the heterogeneity the framework is built for: no candidate functional form reaches a median error of 0.90 dex on an unseen paper, a factor of eight in critical current, against 0.32 to 0.39 dex when the withheld measurements come from within a compound. Because sample form is very nearly a relabelling of source paper in this corpus, the separation between them is not established at any useful significance: the exact permutation probability cannot fall below 0.25 for the strongest of the three families and is identically 1 for the weakest.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 The size of the difficulty can be measured rather than asserted. Withholding every measurement of a source paper leaves no candidate functional form with a median error better than 0.90 dex, a factor of eight in critical current, where withholding measurements from within a compound leaves 0.32 to 0.39 dex, a factor of about two. Predicting an unseen paper and predicting an unseen measurement are not the same problem, and Section II.C reports the comparison in full.</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All 18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because its entries are not all of one kind.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the three forms give 0.903, 0.900 and 0.949 dex on the eight compounds drawing on more than one source, against 0.472, 0.322 and 0.323 under a point-level split on the same cohort. None reaches 0.90 dex on an unseen paper, and an error of that size is a factor of eight in critical current against a factor of about two within a compound. This is the most direct measurement in the paper of the heterogeneity the framework is built for, and the abstract and Section I state it as such.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The distinction carries weight at these magnitudes: a value such as 10.10 is a dimensionless exponent error, not ten orders of magnitude in current density.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The descriptor carries genuine but weak rank information. Over the seven families the descriptor table carries, the Spearman coefficient is 0.408 on the median field exponent, which is the quantity this stage regresses, and 0.593 on the mean.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A ratio of the two stage errors compares different cohorts unless they are matched, because Stage 1 scores every substructure family carrying a descriptor while Stage 2 scores only the families with populated sample-form cells.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because no defensible one exists on this cohort. The sample-form-conditional scope is undefined for the MgB2 class: once the cuprate families are removed no other family contributes a bulk or wire fit, so a conditional numerator covering four families would be divided by a three-family denominator, which is the mismatched-cohort defect this same paragraph identifies. There are also four ways of forming the conditional prediction, and the one that gives the smallest ratio is not the same one on every cohort.</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Its error has to be computed under genuine withholding, because a median that predicts a held-out family from a pool containing that family returns zero for two of its five terms by construction.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the regime drives the aggregation scope: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the quantity is an error in log10 Jc and not in the field exponent, and because the only in-corpus baseline available for comparison is on neither the same scale nor derivable from the deposit, so none is quoted.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It does not improve monotonically under the corrections, and we report both halves of it rather than the one that moves the right way: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report no family-level field verdict rather than replacing the published values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we can give no construction for an adoption bar to compare it against.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105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and Table IV reports both counts.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Five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The exponent scatter propagated here is the one on the repaired cohort. That family's temperature-axis fits give 1.171 on the exponent as deposited, over the 106 rows the deposited table holds for it, and 0.563 on the repaired exponent, over the 105 of those that carry one; the repaired exponent is what the 257-fit cohort and the rest of this paper use.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0.0085 dex, which is 1.4% of the 0.60 dex bootstrap interval at the same point; at 20 K and 5 T the 77 records covering 75 compounds span 0.254 dex. Both points clear the gates of this revision, at reduced temperatures of 0.10 to 0.70, the upper end reached at the 20 K point, and a reduced field of 0.3226. The family emits one value for every purpose the paper claims at the lower point, and this follows from the inference procedure of Section II.D.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0.0085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1.21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published field-axis verdicts for iron pnictide 122-type and MgB2-class are withdrawn in Section III.C,</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candidate dispatch table is the output of four scripts run in order, the predictor followed by the record withdrawals and the two clauses of the applicability window, and a fifth runs them and compares the result with the deposited file cell by cell.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