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What the paper establishes</w:t>
      </w:r>
    </w:p>
    <w:p>
      <w:pPr>
        <w:pStyle w:val="BodyText"/>
      </w:pPr>
      <w:r>
        <w:t>The reply below is long and is organized around the referees' objections rather than around the results, so we state the results here first. The paper makes four claims and each is stated with the evidence that carries it.</w:t>
      </w:r>
    </w:p>
    <w:p>
      <w:pPr>
        <w:pStyle w:val="BodyText"/>
      </w:pPr>
      <w:r>
        <w:t>Universal reduced-variable scaling does not organize this corpus. Normalizing temperature and field by their critical values reduces the within-bin scatter of log10 Jc by 13.0% on the standard-deviation scale and 24.3% on the variance scale, and two direct tests say the same without reference to any threshold: the reduced coordinates carry no more structure than the same grid rotated to a random angle, and unnormalized laboratory temperature and applied field organize the same records better, 67.0% against 39.3%, by isolating compounds rather than collapsing them.</w:t>
      </w:r>
    </w:p>
    <w:p>
      <w:pPr>
        <w:pStyle w:val="BodyText"/>
      </w:pPr>
      <w:r>
        <w:t>Substructure family separates the temperature exponent. With source papers as the unit and the family label shuffled between them, the family accounts for 0.524 of the between-paper variance at a permutation probability of 0.007. Against an exhaustive enumeration of every alternative way of grouping the same eight compounds into three families, 966 in all, the exact probability is 0.0041. It survives on exponents rebuilt independently from the source figures, at 0.359 and 0.037.</w:t>
      </w:r>
    </w:p>
    <w:p>
      <w:pPr>
        <w:pStyle w:val="BodyText"/>
      </w:pPr>
      <w:r>
        <w:t>Nothing generalizes across source papers. Under a holdout that withholds every measurement of a paper, none of the three candidate functional forms reaches a median error of 0.90 dex on the eight compounds drawing on more than one source, against 0.32 to 0.39 dex when the holdout is drawn within a compound. An error of 0.90 dex is a factor of eight in critical current, against a factor of about two within a compound. It is the heterogeneity this paper is about, measured a second way, and it now appears in the abstract and the introduction rather than only in the functional-form comparison.</w:t>
      </w:r>
    </w:p>
    <w:p>
      <w:pPr>
        <w:pStyle w:val="BodyText"/>
      </w:pPr>
      <w:r>
        <w:t>The framework declines to predict outside the window its exponents were calibrated over, and labels every value it does emit with the validation behind it. Of the targets it was asked for, 1054 are refused for lying below the calibrated reduced field and 93 for lying at or above the reduced-temperature bound, leaving 163 emitted over 84 compounds. We are explicit about what the gates do not do. They test a target against that window, and on the field axis they refuse a family that failed validation, but nothing refuses a family that could not be assessed. That is the family which emits: MgB2-class carries no fits in the temperature-axis cohort, so the compound leave-one-out test cannot be run on it. The emitted values say so.</w:t>
      </w:r>
    </w:p>
    <w:p>
      <w:pPr>
        <w:pStyle w:val="BodyText"/>
      </w:pPr>
      <w:r>
        <w:t>One property bears on how the rest of this reply should be read. Every figure regenerates from the deposited data pixel for pixel, the candidate dispatch table regenerates cell for cell, and every printed count is asserted against the deposited tables by a script that ships with the paper. The corrections below are the output of that standard rather than a list of things we happened to notice.</w:t>
      </w:r>
    </w:p>
    <w:p>
      <w:pPr>
        <w:pStyle w:val="BodyText"/>
      </w:pPr>
      <w:r>
        <w:t xml:space="preserve">Each of the four survives the corrections below, and each is narrower than the claim it replaces. The conditioning claim rests on the temperature-axis separation of Sec. III.C, not on the variance-decomposition diagnostic and not on the error ratio Referee A questioned. The applicability claim is graded by family and by axis rather than uniform, field-axis results carry the scale that produced them, and the output is a family-scope envelope with a refusal decision rather than a per-compound ranking.</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The data and the analysis code are now public at https://github.com/prachetpoddar/HT10016-critical-current-prediction, so the referee can read the tables and rerun the scripts while assessing the paper. We agree this belonged in the revision rather than deferred to publication. The Data Availability statement now specifies a deposit containing curve-level metadata, fitted exponents, anchor values with their provenance tier, substructure and sample-form labels, validation splits, refusal flags, and the candidate prediction table. Critical-field records additionally carry the identifier and the type of the source figure from which each value was read, which is what makes the provenance problem described below independently checkable rather than something the reader must take on trust. Section 13 of the Supplemental Material reports that audit with its counts, and Section 11 with Table S1 links every fitted exponent that enters the analysis to an auditable literature record. The corpus enumeration behind the field-axis discussion is deposited as a per-paper table covering the archived corpus.</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also brought examples into the Supplemental Material itself, so that the referee can see the data without downloading the deposit. New Section 15 reproduces rows verbatim from three files, and opens with Fig. S1, which plots the extracted curve, the fitting window and the resulting fit for one retained record, one that runs to the applicability bound, and one we withdrew, so that the three outcomes can be compared directly. Table S4 gives curve-level anchor records, one row per physical sample per paper, including five bulk specimens of one compound from one paper that differ only in processing atmosphere and span 0.26 dex. Table S5 gives fitted field-axis exponents beside both critical-field values, the resolved one used in the fit and the literature zero-temperature one, with the provenance of each. Table S6 gives candidate dispatch rows, including refused rows carrying their reason code and no value. We selected the rows to be useful rather than favourable: Table S5 includes the fits whose resolved scale sits far below the literature value and whose exponents run against the numerical bound, which are the fits that motivate the qualification in Sec. III.F.</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Section II.C now defines the scaling exponent, the two exponents, and the intercept at first use, and states that an exponent is a dimensionless number. The referee is right that identifying the anchor with the pre-exponential factor is a connection we should have made. Section III opens with two conventions: errors in a fitted exponent are dimensionless, and only errors in the logarithm of the critical current are quoted in dex. Table S2 of the Supplemental Material now gives the condensed-matter reading of every term the referee lists, including the anchor as the pre-exponential factor, the substructure as a material family, the cell as a group of comparable specimens, and dex as a factor of ten. We have signposted that table where the vocabulary first becomes dense.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The expression is an empirical parameterization over a restricted interval, which is what the applicability window enforces, and not a description valid to arbitrarily low temperature. That is the referee's closing sentence and it is now the paper's own position; we have restructured the treatment of the expression around it.</w:t>
      </w:r>
      <w:r>
        <w:t xml:space="preserve"/>
      </w:r>
      <w:r>
        <w:t xml:space="preserve"/>
      </w:r>
      <w:r>
        <w:t xml:space="preserve"/>
      </w:r>
      <w:r>
        <w:t xml:space="preserve"/>
      </w:r>
      <w:r>
        <w:t xml:space="preserve"/>
      </w:r>
      <w:r>
        <w:t xml:space="preserve"/>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 comparison that motivated the choice, in which the alternative carrying an explicit temperature-dependent critical field reached 0.352 dex against 0.260 dex for the adopted form, reported now as an empirical trade rather than a physical justification. We motivate the expression from the reduced-scale logic of the Kramer and pinning-force descriptions rather than from Ginzburg-Landau theory, which Section II.C states with those forms as Eq. (3). The referee's objection holds either way, since a reduced-distance power law is an expansion near the critical scale whatever motivates it, and we do not read the fitted exponent as a pinning-mechanism exponent.</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also quantify the cost the referee anticipated. Assumption 1 of Section III.F reports that where a paper's critical scale was held fixed across measurement temperatures, the fitted field exponent drifts systematically with temperature. Across the series holding one scale over three or more temperatures the median absolute rank correlation between exponent and temperature is 0.80, on 13 series and on the 6 sampled at four or more temperatures; as first deposited it was 0.70 on 18, so the effect is unchanged in direction and slightly larger. A series is one source paper, one sample and one held scale, which is what makes the scale held by construction. We withdraw the worked example we gave: its source prints its field axis in kilo-oersted and the extraction recorded the bare numbers as tesla, so its measured span is 0.053 of the assigned scale and all eight of its fits fail the 0.3 applicability bound, and its exponent was not monotone over the window we quoted in any case. The clearest surviving case is the Ba(Fe,Co)2As2 single crystal of Materials Today Physics 27 (2022) 100783, scale held at 4.5 T, whose exponent rises from 0.26 to 0.86 across nine temperatures from 4.2 to 18 K with a rank correlation of 1.00. We offer it as the best surviving illustration and not a clean one: our own audit grades it weak, and only two series in the surviving cohort clear our filters, both from that paper. Over that range the exponent measures the misspecification rather than the pinning physics. The same assumption states the two further departures the referee identifies, the exponential or stretched-exponential low-temperature behaviour from thermal activation of vortices and the change of dominant pinning regime with field and temperature, which together mean a single exponent per axis describes an average over regimes rather than one mechanism.</w:t>
      </w:r>
      <w:r>
        <w:t xml:space="preserve"/>
      </w:r>
      <w:r>
        <w:t xml:space="preserve"/>
      </w:r>
      <w:r>
        <w:t xml:space="preserve"/>
      </w:r>
      <w:r>
        <w:t/>
      </w:r>
      <w:r/>
      <w:r/>
      <w:r/>
      <w:r/>
      <w:r/>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Our applicability window does not handle two things the referee's objection exposes, and rather than report the affected targets as predictions we now refuse them. The window bounds reduced temperature only from above, so it does not exclude the low-temperature regime at all, and our own worked example runs to 2 K while the dispatch reports at 4.2 K. And it requires reduced field above 0.3, which most of the dispatch grid did not meet. A per-point gate on each half of the window removed 1054 targets below the reduced-field bound and 93 at or above the reduced-temperature bound, leaving 163 emitted targets over 84 compounds, all at a reduced field of 0.3226. Eq. (1) admits a curve to the fit on the width of its measured field interval rather than on where a single point sits, so the two are not the same test; we apply the stricter reading to what we emit and say so. Assumption 1 states both, and Section III.E carries the second as a labelled limitation ahead of any dispatched value.</w:t>
      </w:r>
      <w:r>
        <w:t xml:space="preserve"/>
      </w:r>
      <w:r>
        <w:t xml:space="preserve"/>
      </w:r>
      <w:r>
        <w:t xml:space="preserve"/>
      </w:r>
      <w:r>
        <w:t xml:space="preserve"/>
      </w:r>
      <w:r>
        <w:t xml:space="preserve"/>
      </w:r>
      <w:r>
        <w:t/>
      </w:r>
      <w:r/>
      <w:r/>
      <w:r/>
      <w:r/>
      <w:r>
        <w:t xml:space="preserve"/>
      </w:r>
      <w:r>
        <w:t xml:space="preserve"/>
      </w:r>
      <w:r>
        <w:t xml:space="preserve"/>
      </w:r>
      <w:r>
        <w:t xml:space="preserve"/>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 that upper critical fields in anisotropic superconductors are orientation-dependent, that for Fe(Te,Se) the reported values differ by more than a factor of two between the two principal orientations, and that orientation is captured as free text for 26 records but not propagated into the fits while several reference anchors are orientation resolved, so anchors and measurements are not guaranteed to describe the same field configuration. On current direction we concede rather than answer: the extraction does not record it relative to the crystal axes, so we cannot condition on it, and for the anisotropic families that is a limitation of the dataset rather than of the model.</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On MgB2 the referee's observation and our diagnostic agree, and after repairing the anchor table they agree more strongly than we first reported. Sample form now explains 4% of the within-family variance in this class rather than 12%, on 13 physical samples, against 81% for the iron chalcogenides on five, and corrected for the upward bias this statistic carries at small sample size the MgB2-class value is negative: the separation between sample forms here is smaller than the grouping produces by chance. Section III.A reads that as consistent with the two-band character of MgB2 and its documented sensitivity to production route, both acting through variables a sample-form label does not capture. We concede the test itself, separately from the result. Sample form is very nearly a relabelling of source paper here: one of the 29 contributing papers carried more than one sample form before the repair and none of the 20 does after it. Under a null that shuffles the form label between papers and holds each form's sample count fixed, which is the only null that respects that structure, the MgB2-class cell admits a single labelling and returns a probability of 1 however clean the separation, while the iron chalcogenide and 122-type cells admit four labellings and ten, with floors of 0.25 and 0.10. The diagnostic cannot establish the regime distinction it is used to draw, and Section III.A now reports the regime labels as the rule the predictor follows rather than as a tested finding. What would settle it is source papers reporting several sample forms of one compound, which our corpus does not contain. Separately, and this is our error rather than a limit of the literature: 26 of the 96 anchor rows behind this diagnostic held values contradicting their source figures and are withdrawn, and 15 more carried a scale error and are corrected.</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At 1 T against a 50 T upper critical field the reduced field is 0.02, so the field term of our expression has barely engaged, and what Figure 5 was showing was close to a self-field quantity. The referee is correct, and this turned out to be more than a matter of presentation. Section III.E now states it explicitly and cites Talantsev and Tallon, whose result the referee raises, as reference [42]. We report the family median at 4.2 K and 5 T, one of the two grid points that survive the refusal gates, which is a reduced field of 0.3226 rather than the near-self-field point the referee identified. The low-field targets the objection bears on are refused rather than reported.</w:t>
      </w:r>
      <w:r>
        <w:t xml:space="preserve"/>
      </w:r>
      <w:r>
        <w:t xml:space="preserve"/>
      </w:r>
      <w:r>
        <w:t xml:space="preserve"/>
      </w:r>
      <w:r>
        <w:t xml:space="preserve"/>
      </w:r>
      <w:r>
        <w:t xml:space="preserve"/>
      </w:r>
      <w:r>
        <w:t xml:space="preserve"/>
      </w:r>
      <w:r>
        <w:t xml:space="preserve"/>
      </w:r>
      <w:r>
        <w:t/>
      </w:r>
      <w:r/>
      <w:r/>
      <w:r/>
      <w:r/>
      <w:r/>
      <w:r/>
    </w:p>
    <w:p>
      <w:pPr>
        <w:pStyle w:val="BodyText"/>
      </w:pPr>
      <w:r>
        <w:t xml:space="preserve">The referee's suggestion and the next criticism are connected. If the self-field critical current is set mainly by the London penetration depth and depends only weakly on doping, sample shape and production route, then predictions evaluated near self-field should cluster, which is the narrow spread the referee questions below. We have adopted the suggestion, and it changed a claim. Figure 5 is redrawn against reduced field over the window across which the exponent is validated, rather than against absolute field to 10 T where the reduced field reaches only about 0.2. The three evaluated fields all fall in the low-reduced-field corner, and across the validated range the envelopes are not parallel: the iron chalcogenide and 122-type curves cross at a reduced field of 0.58, above which the 122-type envelope is higher, by 0.69 dex at 0.9. Section III.E previously said the family ordering was unchanged at every evaluated field; that remains true of the three evaluated fields, and the text now says so in those terms and reports the crossing beside it. The screening claim is limited to low reduced field. Since the crossing follows from the fitted field exponents and the critical-field anchors, the two quantities Section III.F qualifies, we report it to bound that claim and not as a prediction that the 122-type family overtakes the 11-type in high field. We would not have seen it without the referee's suggestion.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 explanation is structural, and this revision's reduced-field gate has narrowed what there is to report: only the MgB2 class still dispatches. A count needs correcting first. The dispatch emits at two grid points, not one: 4.2 K and 5 T, where 86 records cover 84 compounds, and 20 K and 5 T, where 77 cover 75, both clearing this revision's gates at reduced temperatures of 0.10 to 0.70 and a reduced field of 0.3226. The wording that said one grid point came from an assertion that checks a single field is emitted, which is true. At 4.2 K and 5 T the 86 records span 0.0085 dex, 1.4% of the 0.60 dex bootstrap interval there; at 20 K and 5 T the 77 records span 0.254 dex. At 20 K our explanation holds: the conditioning fixes every parameter of the expression, the compound-specific inputs are the critical-field anchor and the transition temperature, and the prediction regresses on the temperature term with a slope of 1.21 and an R squared of 0.996, recovering the family exponent of 1.14. At 4.2 K the transition temperature cannot enter at all, and this is the part we had not seen. The model is anchored at a reference point whose temperature is 4.2 K, so the temperature term is the difference of a quantity from itself and is identically zero for every candidate; across 59 distinct anchors from 8.9 to 41.4 K the largest value it takes is exactly zero. Every dispatched record also carries the same 15.5 T parent anchor, so the field term is one shared number, and the prediction there is a single family-level constant of 4.980 in log10 Jc, the family's critical-current anchor of 5.324 displaced by 0.344 dex. The referee's reading is right and the figure supports it more strongly than we claimed. The 0.0085 dex is not a spread between compounds: all 86 records have identical model inputs and differ only in their draw from one bootstrap stream over a pool of 18 fits, and resampling that pool 84 times independently returns 0.0092 dex with a standard deviation of 0.0016. It is evidence that the predictor is constant at that point and evidence of nothing else, and we no longer offer it as a measured quantity. A compound-resolved spread would need a grid that does not evaluate at the anchor's own reference temperature.</w:t>
      </w:r>
      <w:r>
        <w:t xml:space="preserve"/>
      </w:r>
      <w:r>
        <w:t xml:space="preserve"/>
      </w:r>
      <w:r>
        <w:t xml:space="preserve"/>
      </w:r>
      <w:r>
        <w:t/>
      </w:r>
      <w:r/>
      <w:r/>
      <w:r/>
      <w:r/>
      <w:r/>
      <w:r/>
      <w:r/>
      <w:r/>
      <w:r/>
      <w:r/>
      <w:r/>
      <w:r/>
    </w:p>
    <w:p>
      <w:pPr>
        <w:pStyle w:val="BodyText"/>
      </w:pPr>
      <w:r>
        <w:t>On precision we have adopted the referee's correction and no longer carry a third digit where it carried no comparison; it is kept where errors are compared across families, since rounding to two would collapse distinctions the applicability table turns on. The width itself has changed. The 0.388 dex the referee read was the median before this revision's reduced-field gate; over the 163 surviving predictions it is 0.61 dex, a factor of about 4.1, and 0.60 dex at the 4.2 K grid point. We should say what that width is made of. On the three records carrying an exact critical-field anchor it is 0.398 dex and on the 83 carrying a parent anchor 0.602, the difference being a deterministic plus or minus 20 percent envelope on the parent anchor rather than bootstrap spread, so about a third of the quoted width is not sampling uncertainty. At the upper perturbation that envelope evaluates the model at a reduced field of 0.269, below the 0.3 bound this revision introduced, which we flag as a defect in the envelope rather than defend. We have also adopted the suggested gloss, giving the width as a factor in the critical current: about 4.1, with Table S2 carrying the conversion generally.</w:t>
      </w:r>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Section II.A now states that the Elsevier and Springer interfaces supplied the retrieval and screening corpus, that all 18 source papers behind the temperature-axis cohort are arXiv preprints, and that the field-axis cohort additionally includes nine records digitized from National High Magnetic Field Laboratory datasets. The data are not limited to those two sources, and our earlier text implied otherwise, which we regret. We also state plainly that the retrieval is candidate-driven rather than exhaustive, so the corpus does not span all published literature and the coverage is biased toward the venues queried. All source identifiers are enumerated in the deposit.</w:t>
      </w:r>
      <w:r>
        <w:t xml:space="preserve"/>
      </w:r>
      <w:r>
        <w:t xml:space="preserve"/>
      </w:r>
      <w:r>
        <w:t xml:space="preserve"/>
      </w:r>
      <w:r>
        <w:t/>
      </w:r>
      <w:r/>
      <w:r>
        <w:t/>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Table I of Section II.A now gives the full ladder in one place: 934 articles screened, 50 contributing fitted curves, 35 distinct compound labels, 3303 extracted critical-current points, 257 temperature-axis fits, 52 field-axis fits from 12 source papers, and 96 per-paper anchors behind Figure 3, of which the 70 carrying no withdrawal are the cohort the figure now draws. We accept the objection and have separated the screening corpus from the evidence base for any fitted quantity. The counts for contributing papers, compounds and extracted points are lower than in the previous revision because eleven papers were withdrawn and their provenance rows had not been removed with them. The figure of 50 now appears first in the main text, and the abstract leads with the smaller numbers rather than with 934. The referee is also right that the figure and the tables appear to disagree, and we should have labelled the difference: the markers in Figure 3 are per physical sample, with multiple isotherms of one specimen averaged into a single record, while the tables count per-curve fits. The caption now gives both the anchors falling in the three panels shown and the markers they collapse to.</w:t>
      </w:r>
      <w:r>
        <w:t xml:space="preserve"/>
      </w:r>
      <w:r>
        <w:t/>
      </w:r>
      <w:r/>
      <w:r/>
      <w:r/>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and labelling them in dex is what made 10.10 read as ten orders of magnitude in current density. This is corrected throughout. The cohorts were mismatched too, the larger error coming from nine substructure families and the smaller from the five with populated sample-form cells. Matching them removes that defect but not a worse one: in both, the predictor for a held-out family was built from a pool containing that family's own fits, so neither was a statement about generalization. Under leave-one-substructure-out we report no fold improvement at all, and give the errors instead. On the fits passing physicality the mean absolute error in the exponent is 1.19 without conditioning and 0.55 with it; across the seven families carrying a descriptor it is 12.3 and 14.9, which is conditioning doing worse than not conditioning. We withdraw the 1.07, 2.24 and 1.83 an earlier version of this reply quoted, because they repeat the defect they were introduced to replace: the sample-form scope is undefined for the MgB2 class once the cuprate families are gated out, so two of the three divide a four-family numerator by a three-family denominator. Nor is any such ratio stable at this scope. On the 52 field-axis fits surviving the anchor repairs there are four families and four folds, the unconditioned stage is a two-parameter fit on three training points in each, and removing any single family moves the ratio between 0.74 and 550. The objection is conceded more completely than our first reply conceded it. It is not that 23 was too large. It is that on a corpus of this size the benefit of conditioning cannot be separated from the noise of holding a family out, so we report the two errors and the family count rather than their quotient. The referee is further correct that the cuprates dominate the residual: Supplemental Sec. 1 reports 59% of the residual mass against 43% of the cohort, three cuprate substructures reaching the regression ceiling because their measured field windows lie far below the critical field. The same test found the mismatched-cohort error a second time: the 26.8% anchor-count reduction in Sec. III.B compared a three-compound one-anchor value against a four-compound three-anchor one, and the matched pair, 1.267 to 0.694, gives 45.2%, which we now carry.</w:t>
      </w:r>
      <w:r>
        <w:t xml:space="preserve"/>
      </w:r>
      <w:r>
        <w:t xml:space="preserve"/>
      </w:r>
      <w:r>
        <w:t xml:space="preserve"/>
      </w:r>
      <w:r>
        <w:t xml:space="preserve"/>
      </w:r>
      <w:r>
        <w:t xml:space="preserve"/>
      </w:r>
      <w:r>
        <w:t/>
      </w:r>
      <w:r>
        <w:t xml:space="preserve"/>
      </w:r>
      <w:r>
        <w:t xml:space="preserve"/>
      </w:r>
      <w:r>
        <w:t xml:space="preserve"/>
      </w:r>
      <w:r>
        <w:t/>
      </w:r>
      <w:r/>
      <w:r>
        <w:t xml:space="preserve"/>
      </w:r>
      <w:r>
        <w:t xml:space="preserve"/>
      </w:r>
      <w:r>
        <w:t xml:space="preserve"/>
      </w:r>
      <w:r>
        <w:t xml:space="preserve"/>
      </w:r>
      <w:r>
        <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r/>
    </w:p>
    <w:p>
      <w:pPr>
        <w:pStyle w:val="BodyText"/>
      </w:pPr>
      <w:r>
        <w:t>The conditioning claim no longer rests on this ratio at all, and it cannot rest on the variance-decomposition diagnostic either, for the reason conceded above: sample form is very nearly a relabelling of source paper, so under the only null that respects that structure the iron chalcogenide cell cannot reach a probability below 0.25, the 122-type cell below 0.10, and the MgB2-class cell returns 1 whatever its separation. The claim rests on the temperature axis, and the evidence is the permutation test reported below: with source papers as the unit and the substructure label shuffled between them, the family accounts for a rising fraction of the between-paper variance in the temperature exponent as the anchors are corrected, while on the field axis it accounts for essentially none. That is also why Table III records the field axis as not validated at family level and reports no verdict for it. We had described the temperature result as the one that improved under every correction; the section below withdraws that description and gives the full history.</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The data-layer limitations of Section III.F now record that the framework has not been validated on the deployed conductor materials, that REBCO in particular does not obey our expression over the ranges of interest, and that the cuprates enter two ways, five papers in the fitted cohort and four out-of-corpus cuprates as the external validation set where they show measurement-window saturation. We state it as a limit on the work rather than a gap to be filled later, and add the referee's point that these materials have critical fields higher than can be directly measured and a much stronger field-angle dependence. Extending the framework to them is not a matter of adding data: it would need a functional form appropriate to their pinning behaviour and an orientation-resolved treatment our extraction does not support.</w:t>
      </w:r>
      <w:r>
        <w:t xml:space="preserve"/>
      </w:r>
      <w:r>
        <w:t xml:space="preserve"/>
      </w:r>
      <w:r>
        <w:t xml:space="preserve"/>
      </w:r>
      <w:r>
        <w:t xml:space="preserve"/>
      </w:r>
      <w:r>
        <w:t xml:space="preserve"/>
      </w:r>
      <w:r>
        <w:t/>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 caveat added to it. The abstract now says the framework emits family-scope envelopes with an explicit refusal decision, and that within a family the envelope is one curve shared by all member candidates; Section III.E demonstrates it with the counts above, Assumption 4 of Section III.F states it as a bound on inferential scope, and Figure 5's caption repeats it. We have removed the phrasing that could be read as a ranking of 183 candidates.</w:t>
      </w:r>
      <w:r>
        <w:t xml:space="preserve"/>
      </w:r>
      <w:r>
        <w:t xml:space="preserve"/>
      </w:r>
      <w:r>
        <w:t xml:space="preserve"/>
      </w:r>
      <w:r>
        <w:t xml:space="preserve"/>
      </w:r>
      <w:r>
        <w:t xml:space="preserve"/>
      </w:r>
      <w:r>
        <w:t xml:space="preserve"/>
      </w:r>
      <w:r>
        <w:t xml:space="preserve"/>
      </w:r>
      <w:r>
        <w:t xml:space="preserve"/>
      </w:r>
      <w:r>
        <w:t xml:space="preserve"/>
      </w:r>
      <w:r>
        <w:t/>
      </w:r>
      <w:r>
        <w:t xml:space="preserve"/>
      </w:r>
      <w:r>
        <w:t xml:space="preserve"/>
      </w:r>
      <w:r>
        <w:t xml:space="preserve"/>
      </w:r>
      <w:r>
        <w:t xml:space="preserve"/>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and the earlier text invited that reading. There is one model and three prediction scopes over the same fitted exponents, which Section II.D now states under the heading Three scopes, not three models. Stage 1 regresses the exponent against a compositional descriptor and serves for rank signal and substructure classification, not as a final predictor. Stage 2 takes the median exponent within a (substructure, sample form) cell when the candidate's form is known and that cell is populated. Stage 3 takes the substructure-level median with the within-family interquartile range as uncertainty, when the form is unknown or the cell is too sparse, and the variance-decomposition diagnostic decides family by family whether Stage 2 is justified at all. What differs is the scope over which the same quantities are aggregated, not the class of model.</w:t>
      </w:r>
      <w:r>
        <w:t xml:space="preserve"/>
      </w:r>
      <w:r>
        <w:t xml:space="preserve"/>
      </w:r>
      <w:r>
        <w:t xml:space="preserve"/>
      </w:r>
      <w:r>
        <w:t xml:space="preserve"/>
      </w:r>
      <w:r>
        <w:t xml:space="preserve"/>
      </w:r>
      <w:r>
        <w:rPr>
          <w:iCs/>
          <w:i/>
        </w:rP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and Section II.D now writes it out as a numbered procedure. For a candidate with no critical-current measurements: assign the substructure family from stoichiometry and crystal system, refusing if it is unpopulated or ambiguous; obtain the transition-temperature anchor, and the critical-field anchor if a field-axis target is requested, refusing that target if it is unavailable; require at least three anchor measurements; read the variance-decomposition regime for the family to select Stage 2 or Stage 3; take the median parameters from that cell; evaluate the expression and propagate uncertainty by quadrature over the three fitted terms; and apply the remaining gates, refusing with a reason code if any fails. The procedure closes by noting that the parameter and evaluation steps use family-level quantities only, which is why we withhold per-compound rankings.</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and we now name the model rather than leaving it to be inferred: Section III.A states that the Stage 1 regression is a univariate ordinary least squares fit on the mean maximum Pauling electronegativity across seven substructure families with leave-one-substructure-out validation. The Spearman coefficient of 0.635 with its interval from 0.061 to 0.948 that an earlier version of this reply quoted is withdrawn: it was computed on a nine-family descriptor table and on the mean field exponent where this stage regresses the median, and on the seven families that remain no interval can be estimated tightly enough to be worth quoting. We report instead the quantity this stage was validated on, its rank-position error of 1.00 with six of seven families placed within one position, which is why Stage 1 is retained for ranking and classification rather than for magnitude.</w:t>
      </w:r>
      <w:r>
        <w:t xml:space="preserve"/>
      </w:r>
      <w:r>
        <w:t/>
      </w:r>
      <w:r/>
      <w:r>
        <w:t xml:space="preserve"/>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with the intercept and the dex convention: a scaling exponent is the fitted power to which the reduced distance from a critical scale is raised, and it is dimensionless. The question also exposed a second problem. The manuscript used one symbol for the field exponent while the analysis realized it against two definitions of the critical scale, which Section II.C now separates under the heading Two implementations of the field-axis critical scale. The two are identical for the 61 of 159 fits that fall back to the literature default; for the 98 where a paper-derived value was resolved, that value is a median factor of 6.4 smaller. Every result in Section III is labelled with the implementation that produced it.</w:t>
      </w:r>
      <w:r>
        <w:t xml:space="preserve"/>
      </w:r>
      <w:r>
        <w:t xml:space="preserve"/>
      </w:r>
      <w:r>
        <w:t xml:space="preserve"/>
      </w:r>
      <w:r>
        <w:t xml:space="preserve"/>
      </w:r>
      <w:r>
        <w:t xml:space="preserve"/>
      </w:r>
      <w:r>
        <w:t xml:space="preserve"/>
      </w:r>
      <w:r>
        <w:t xml:space="preserve"/>
      </w:r>
      <w:r>
        <w:rPr>
          <w:iCs/>
          <w:i/>
        </w:rPr>
        <w:t xml:space="preserve"/>
      </w:r>
      <w:r>
        <w:rPr>
          <w:iCs/>
          <w:i/>
        </w:rPr>
        <w:t xml:space="preserve"/>
      </w:r>
      <w:r>
        <w:rPr>
          <w:iCs/>
          <w:i/>
        </w:rPr>
        <w:t xml:space="preserve"/>
      </w:r>
      <w:r>
        <w:t/>
      </w:r>
      <w:r/>
      <w:r/>
      <w:r/>
      <w:r>
        <w:t xml:space="preserve"/>
      </w:r>
      <w:r>
        <w:t xml:space="preserve"/>
      </w:r>
      <w:r>
        <w:t xml:space="preserve"/>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Following the referee's arrows showed that a stage was missing from the architecture, not only a line: between extraction and fitting the workflow resolves the transition temperature and the critical field for each fitted curve, and that stage was not shown at all. It is where the defects reported below occur. The workflow is now six stages, redrawn as a vertical flow in which every arrow is labelled with what it carries and the critical-scale resolution stage is shown explicitly with its provenance tiers. The refusal branch leaves the dispatch stage explicitly, so that refusal reads as an output of the predictor rather than as an omission.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r>
        <w:t xml:space="preserve">We report these because they matter to the results, and because a referee would reasonably ask why several numbers have moved. Section 17 of the Supplemental Material carries the trace with the evidence for each finding; below is what it found and what it changed.</w:t>
      </w:r>
    </w:p>
    <w:p>
      <w:r>
        <w:t xml:space="preserve">Tracing Referee A's two observations led to a retrospective audit of the critical-field scale. Sixteen field-axis papers were read independently by two vision-language models of a later generation than the pair used for extraction. For eight of the sixteen, both models reported that the paper contains no plot of critical field against temperature, while the pipeline held extracted values for all eight. Across the cohort the assigned scale barely exceeds the largest field measured on the curve it anchors, at a median ratio of 0.88, which is how a scale read from a curve endpoint behaves and not how an independently measured critical field behaves. We attempted a rebuild against a temperature-resolved scale and could not complete it: of 29 candidate papers read and span-tested, only the MgB2 class clears the three-paper threshold we set beforehand, and the 122-type family, which needed the evidence most, yielded nothing. We report that as a finding rather than an obstacle, since it is the comparability principle of this paper applied one level down.</w:t>
      </w:r>
    </w:p>
    <w:p>
      <w:r>
        <w:t xml:space="preserve">Continuing that audit turned up five further defects, four of them in places we had not looked. Eleven papers were withdrawn from the temperature-axis cohort after we opened their figures, and one table was not updated with them, so Table I was internally inconsistent and the extracted-point count was overstated by 843. The transition-temperature anchor is a lookup table with per-substructure defaults rather than the paper-reported value the deposit labels it; six of the eighteen temperature-axis papers are wrong by 5 K or more, and we have replaced every anchor we could check with the value the paper prints. The applicability window was imposed on the temperature axis and not the field axis, where nineteen of the 94 fits sat above the stated bound; it is now applied to both, and we say plainly that its field clause contains nothing independent of its own scale. The extracted curves carry four to twenty times less interaction between the temperature and field dependences than pixel traces of the same printed figures, which is why the field exponent carries the qualification it does. And the deposited prediction file did not reproduce from its own generator, and now does: a scope rule had been applied to the file and never written into the code, and three of the four scripts producing the table were named nowhere. One script now runs all four and compares the result with the released file cell by cell. Regenerating moved the spread at 4.2 K and 5 T from 0.0098 dex to 0.0085 and at 20 K and 5 T from 0.259 to 0.254, and changed nothing else.</w:t>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Matched on the seventeen papers common to both versions, the fraction of between-paper variance the family accounts for is 0.44 before the anchor correction and 0.52 after, with permutation probabilities of 0.016 and 0.007. We withdraw the description of this as a result that strengthened under every correction, because the full history does not support it. Three things belong beside the number. Before the eleven paper withdrawals there is no separation at all, at 0.107 with a probability of 0.355, and our own note on those withdrawals records that the screen which selected them is not independent of the exponent and acted in opposite directions in different families, so most of the rise cannot be read as evidence. At the step that removed two papers whose extractions could not be reproduced, the fraction rose while the probability rose with it, from 0.012 to 0.016. And the exponents do not reproduce from their own figures: of the fourteen we could score against a pixel trace none does, at a median ratio of 0.42, though on the exponents rebuilt from those traces the separation survives at 0.359 with a probability of 0.037 while the applicability result does not. What we can defend is narrower than what we first wrote and is tested harder. The obvious objection to a family label is that it is compound identity with fewer labels, and enumeration settles it: the eight compounds admit 966 ways of forming three families, four reach the observed separation, and the exact probability is 0.0041. One alternative grouping separates the exponent slightly better than the substructure label does, and Sec. III.C says so.</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report the field axis as not separating the families rather than omitting it. A pass over every reported quantity found five more defects, all corrected. The 30% adoption threshold our universality claim was compared against had no construction anywhere in our analysis, and the quantity its own defining sentence named as the benchmark was twenty times smaller; it is withdrawn, and Sec. III.D now tests the scaling claim directly against coordinates chosen to carry no physics. Stage 3's error of 0.84 was described as a leave-one-substructure-out result and is not one: the held-out family predicted itself, the same defect we concede above for Stages 1 and 2 and from the same run. Under genuine withholding it is 0.816. The propagated uncertainty of 0.29 dex used a temperature-exponent scatter that does not reproduce from our own deposit; on the repaired exponent it is 0.27 dex, and the accompanying claim that a correlation between the terms would make it a lower bound is wrong for this functional form, so we claim no bound. Table II's holdout margin does not separate Form 3 from Form 2 once the three forms are scored on identical rows and compounds, so Sec. II.C adopts Form 3 for the separability the rest of the paper requires and reports the comparison as it falls. And the per-family parameters behind Figure 5 could not be regenerated at all, because the module producing them fitted them to the predictor's own output; they are now family median exponents over the fitted cohorts, and the figure moves with them.</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candidate compound count does not move, because the candidate side does not depend on the anchors. The anchor count does. Twenty-six of the 96 per-paper anchor rows carry a withdrawal, so Figure 3 and the diagnostic of Sec. III.A are now computed on the remaining 70 and both cohorts are reported. An earlier version of this reply said the anchor count did not move, and that was wrong.</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Beyond the five above: the MgB2-class compound leave-one-out error is 0.753 rather than 0.772, the universal scaling reduction is 13.0% on the standard-deviation scale rather than 14.1%, and the external anchor-count errors are labelled in dex rather than as dimensionless exponent errors. The fifteen MgB2 temperature fits are described as the deposited file has them: six rest on three points rather than one, and the fit we reported with a root-mean-square residual of 6.3 has one of 6.3 times ten to the minus fourteen. The 233 evaluated records and the 212 retained after the calibration screen are record counts covering 183 distinct compounds. A second pass, made after the tables were frozen, found seven more, all corrected and none changing a conclusion. Section III.A applied a clustered null holding the sample-form counts fixed to two families and a looser one to the third, which made the MgB2-class floor read as 0.33; under the same null, that family admits one labelling and its probability is identically 1, so the caveat we make there is stronger than we stated it. Four places said the framework refuses to predict outside its validated scope, which our own conclusion contradicted two sentences later: the gates test a target against the calibrated window, and nothing refuses a family that could not be assessed, which is the family that emits. Supplemental Sec. 9 gave the iron chalcogenide family 55 candidates against Table IV's 49, and both gave it seven paper-reported anchors beside 24 reference-table ones, more anchors than the family has compounds; the deposit gives five. Supplemental Sec. 12 compared prediction scopes on 53 and 37 non-refused candidates at 1 T, where the deposited file has none in any family; we withdraw it rather than recompute it, since the families it ran on emit nothing and the one that emits was excluded by construction. The paragraph under Table S6 read a field span off a candidate refused at all nine of its grid points. And two counts were quoted on the cohort as deposited inside sentences quoting the repaired one: the 122-type family carries 105 temperature-axis fits rather than 106, and the temperature-axis cohort comes from 18 source papers, all arXiv preprints, rather than 18 of 20. Two values the submitted manuscript carried are withdrawn and recorded here rather than in the paper: the in-corpus baseline of 0.567 that Sec. III.B compared the 1.592 dex one-anchor error against, which is neither derivable from the deposit nor on the same scale, and the family medians of 6.00, 5.75 and 5.32 in log10 Jc at 0.1 T that Sec. III.E reported with a top-quartile slice entirely of iron chalcogenide 11-type, every prediction behind which this revision's reduced-field gate refuses. An artificial intelligence use disclosure has been added in accordance with APS policy, naming the models used at each stage, how they were directed, and how their output was verified, including the cross-model agreement gate that produced the audit above.</w:t>
      </w:r>
      <w:r>
        <w:t xml:space="preserve"/>
      </w:r>
      <w:r>
        <w:t xml:space="preserve"/>
      </w:r>
      <w:r>
        <w:t xml:space="preserve"/>
      </w:r>
      <w:r>
        <w:t/>
      </w:r>
      <w:r/>
      <w:r/>
      <w:r/>
      <w:r>
        <w:t xml:space="preserve"/>
      </w:r>
      <w:r>
        <w:t xml:space="preserve"/>
      </w:r>
      <w:r>
        <w:t xml:space="preserve"/>
      </w:r>
      <w:r>
        <w:t xml:space="preserve"/>
      </w:r>
      <w:r>
        <w:t xml:space="preserve"/>
      </w:r>
      <w:r>
        <w:t xml:space="preserve"/>
      </w:r>
      <w:r>
        <w:t xml:space="preserve"/>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