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clear our 30% threshold. It reduces the</w:t>
      </w:r>
      <w:r>
        <w:t xml:space="preserve"> </w:t>
      </w:r>
      <w:r>
        <w:t xml:space="preserve">within-bin scatter by 13.0% on the standard-deviation scale, replacing a previously reported</w:t>
      </w:r>
      <w:r>
        <w:t xml:space="preserve"> </w:t>
      </w:r>
      <w:r>
        <w:t xml:space="preserve">14.1% whose numerator and denominator had been computed on different populations. That</w:t>
      </w:r>
      <w:r>
        <w:t xml:space="preserve"> </w:t>
      </w:r>
      <w:r>
        <w:t xml:space="preserve">result is insensitive to a 35% perturbation of the estimated critical fields. The conditioning claim now rests on the variance-decomposition diagnostic,</w:t>
      </w:r>
      <w:r>
        <w:t xml:space="preserve"> </w:t>
      </w:r>
      <w:r>
        <w:t xml:space="preserve">which uses the critical-current anchor and involves neither a fitted exponent nor a critical</w:t>
      </w:r>
      <w:r>
        <w:t xml:space="preserve"> </w:t>
      </w:r>
      <w:r>
        <w:t xml:space="preserve">field scale, rather than on the error ratio Referee A questioned.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w:t>
      </w:r>
      <w:r>
        <w:t xml:space="preserve"> </w:t>
      </w:r>
      <w:r>
        <w:t xml:space="preserve">three files: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field exponent drifts systematically with temperature. Across the series in which one scale was held over three or more measurement temperatures, the median absolute rank correlation between exponent and temperature is 0.80. That figure has moved since the deposited version of this analysis and we give both: on the table as first deposited there were 18 such series with a median of 0.70, rising to 0.80 in the nine sampled at four or more temperatures, and after the withdrawals described below there are 13 and 6, both at 0.80. The effect the referee anticipated is unchanged in direction and slightly larger. A series here is one source paper, one sample and one held critical scale, which is what makes the scale held by construction; the statistic is the rank correlation between the fixed measurement temperature and the fitted field exponent. We withdraw the worked example we gave, for two reasons rather than one.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of that, the exponent is not monotone over the window we quoted: it falls from 1.25 at 2 K to 0.82 at 10 K before rising to 12.14 at 35 K, and the rank correlation over that window is 0.79 rather than the near-unity our phrasing implied. The sentence described a rise that does not happen over the first third of its own range, and we would have had to correct it whatever became of the unit. In its place, and with a caveat we state rather than leave for the reader to find: the clearest surviving case is the Ba(Fe,Co)2As2 single crystal of Materials Today Physics 27 (2022) 100783, with a scale held at 4.5 T, whose fitted exponent rises from 0.26 to 0.86 across nine measurement temperatures from 4.2 to 18 K with a rank correlation of 1.00. Exactly two series in the surviving cohort clear our filters and both come from that paper, the other being a polycrystal record we have since identified as a copy of this one and withdrawn. This record is itself graded weak in our audit, sitting 1.3 to 1.7 times above a retrace of its own figure with a wrong tail, so we offer it as the best surviving illustration and not as a clean one.</w:t>
      </w:r>
      <w:r/>
      <w:r/>
      <w:r/>
      <w:r/>
      <w:r/>
      <w:r/>
      <w:r/>
      <w:r>
        <w:t xml:space="preserve">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in this class is smaller than the grouping produces by chance. Section III.A states that this is consistent with the two-band character of MgB2 and with its documented sensitivity to production route, both of which act through variables a sample-form label does not capture. We have to concede the test itself, separately from the result, and we would rather state this than let the referee find it.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the corpus we retrieved does not contain; we name that as the specific data requirement rather than as a general call for more data. Separately, and this is our error rather than a limit of the literature: 26 of the 96 anchor rows behind this diagnostic held values that contradict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4.2 K and 5 T, one of the two grid points that survive the refusal gates,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We have to correct a count before answering.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at that point; at 20 K and 5 T the 77 records span 0.259 dex. At 20 K the explanation we gave holds: the conditioning fixes every parameter of the expression and the compound-specific inputs are the critical-field anchor and the transition temperature. The prediction regresses on the temperature term the model forms with a slope of 1.22 and an R squared of 0.996, recovering the family exponent of 1.14, so the candidate's own transition temperature enters exactly as described. At 4.2 K it cannot enter, and this is the part we had not seen. The model is anchored at a reference point, and its temperature term is the difference between log10(1 - T/Tc) and the same quantity at that reference. The reference temperature is 4.2 K. At 4.2 K the difference is therefore identically zero for every candidate whatever its transition temperature, and across 59 distinct anchors from 8.9 to 41.4 K the largest value that term takes is exactly zero. Every dispatched record also carries the same 15.5 T parent critical-field anchor, so the field term is one shared number. The prediction at that grid point is a single family-level constant, 4.980 in log10 Jc, which is the family's own critical-current anchor of 5.324 displaced by 0.344 dex by the shared field term. So the referee's reading is right and the figure supports it more strongly than we claimed. What the 0.0098 dex measures is not a spread between compounds. With the temperature term zero and the field anchor common, all 86 records have identical model inputs and differ only in their draw from one bootstrap stream over a pool of 18 fits. Resampling that pool 84 times independently returns a span of 0.0092 dex with a standard deviation of 0.0016, of which the observed value is an ordinary draw. The number is evidence that the predictor is constant at that point and evidence of nothing else, and we no longer offer it as a measured quantity. What would let us report a compound-resolved spread is a dispatch grid that does not evaluate at the anchor's own reference temperature, which the present grid does, and we state that as the specific change rather than as a general limitation.</w:t>
      </w:r>
      <w:r/>
      <w:r/>
      <w:r/>
      <w:r/>
      <w:r/>
      <w:r/>
      <w:r/>
      <w:r/>
      <w:r/>
      <w:r/>
      <w:r/>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0.60 dex at the 4.2 K grid point specifically.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the improvement is between one and about two-fold and depends on the cohort: 1.07-fold across the seven families carrying a descriptor, 2.24-fold on the fits passing physicality, and 1.83-fold with the cuprate families removed. Those are the figures we now report, and we no longer offer a single fold-improvement headline.</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 xml:space="preserve">The conditioning claim no longer rests on this ratio at all. It rests on</w:t>
      </w:r>
      <w:r>
        <w:t xml:space="preserve"> </w:t>
      </w:r>
      <w:r>
        <w:t xml:space="preserve">the variance-decomposition diagnostic, which is computed on the critical-current anchor and</w:t>
      </w:r>
      <w:r>
        <w:t xml:space="preserve"> </w:t>
      </w:r>
      <w:r>
        <w:t xml:space="preserve">uses neither a fitted exponent nor a critical field scale. We verified that quantity</w:t>
      </w:r>
      <w:r>
        <w:t xml:space="preserve"> </w:t>
      </w:r>
      <w:r>
        <w:t>independently of the corrections: all 96 per-paper anchor groups are identical before and after</w:t>
      </w:r>
      <w:r/>
      <w:r>
        <w:t xml:space="preserve"> the magnetic-field unit repair described below.</w:t>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We also report the descriptor’s rank</w:t>
      </w:r>
      <w:r>
        <w:t xml:space="preserve"> </w:t>
      </w:r>
      <w:r>
        <w:t xml:space="preserve">correlation as a Spearman coefficient of 0.635 with a 95% confidence interval from 0.061 to</w:t>
      </w:r>
      <w:r>
        <w:t xml:space="preserve"> </w:t>
      </w:r>
      <w:r>
        <w:t xml:space="preserve">0.948, so that the reader can see how weak that signal is and why Stage 1 is retained for</w:t>
      </w:r>
      <w:r>
        <w:t xml:space="preserve"> </w:t>
      </w:r>
      <w:r>
        <w:t xml:space="preserve">ranking and classification rather than for magnitude.</w:t>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0.88, and 11 of the 52 curves admitted by the stated fitting protocol sit above 0.9. On the cohort as published the same rule gave 0.80 and 15 of 94, so the exposure rises rather than falls once the anchors are repaired.</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and correcting the anchors makes the separation stronger. Matched on the seventeen papers common to both versions, the fraction of between-paper variance the family accounts for rises from 0.44 to 0.52, with a permutation probability falling from 0.016 to 0.007.</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w:t>
      </w:r>
      <w:r>
        <w:t xml:space="preserve"> </w:t>
      </w:r>
      <w:r>
        <w:t xml:space="preserve">is 0.753 rather than 0.772. The universal scaling reduction is 13.0% on the</w:t>
      </w:r>
      <w:r>
        <w:t xml:space="preserve"> </w:t>
      </w:r>
      <w:r>
        <w:t>standard-deviation scale rather than 14.1%.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