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clear our 30% threshold. It reduces the</w:t>
      </w:r>
      <w:r>
        <w:t xml:space="preserve"> </w:t>
      </w:r>
      <w:r>
        <w:t xml:space="preserve">within-bin scatter by 13.0% on the standard-deviation scale, replacing a previously reported</w:t>
      </w:r>
      <w:r>
        <w:t xml:space="preserve"> </w:t>
      </w:r>
      <w:r>
        <w:t xml:space="preserve">14.1% whose numerator and denominator had been computed on different populations. That</w:t>
      </w:r>
      <w:r>
        <w:t xml:space="preserve"> </w:t>
      </w:r>
      <w:r>
        <w:t xml:space="preserve">result is insensitive to a 35% perturbation of the estimated critical fields. The conditioning claim now rests on the variance-decomposition diagnostic,</w:t>
      </w:r>
      <w:r>
        <w:t xml:space="preserve"> </w:t>
      </w:r>
      <w:r>
        <w:t xml:space="preserve">which uses the critical-current anchor and involves neither a fitted exponent nor a critical</w:t>
      </w:r>
      <w:r>
        <w:t xml:space="preserve"> </w:t>
      </w:r>
      <w:r>
        <w:t xml:space="preserve">field scale, rather than on the error ratio Referee A questioned. The applicability claim is</w:t>
      </w:r>
      <w:r>
        <w:t xml:space="preserve"> </w:t>
      </w:r>
      <w:r>
        <w:t xml:space="preserve">narrowed, the field-axis results are retained but labelled with the scale that produced</w:t>
      </w:r>
      <w:r>
        <w:t xml:space="preserve"> </w:t>
      </w:r>
      <w:r>
        <w:t xml:space="preserve">them, and the output of the framework is restated as family-scope envelopes together with a</w:t>
      </w:r>
      <w:r>
        <w:t xml:space="preserve"> </w:t>
      </w:r>
      <w:r>
        <w:t xml:space="preserve">refusal decision. The manuscript is longer because each of these points needed its evidence set out, and it</w:t>
      </w:r>
      <w:r>
        <w:t xml:space="preserve"> </w:t>
      </w:r>
      <w:r>
        <w:t xml:space="preserve">now carries eleven displayed equations, four tables, and a numbered inference procedure.</w:t>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w:t>
      </w:r>
      <w:r>
        <w:t xml:space="preserve"> </w:t>
      </w:r>
      <w:r>
        <w:t xml:space="preserve">see the data without downloading the deposit. New Section 15 reproduces rows verbatim from</w:t>
      </w:r>
      <w:r>
        <w:t xml:space="preserve"> </w:t>
      </w:r>
      <w:r>
        <w:t xml:space="preserve">three files: Table S4 gives curve-level anchor records, one row per physical sample per</w:t>
      </w:r>
      <w:r>
        <w:t xml:space="preserve"> </w:t>
      </w:r>
      <w:r>
        <w:t xml:space="preserve">paper, including five bulk specimens of the same compound from one paper that differ only in</w:t>
      </w:r>
      <w:r>
        <w:t xml:space="preserve"> </w:t>
      </w:r>
      <w:r>
        <w:t xml:space="preserve">processing atmosphere and span 0.26 dex; Table S5 gives fitted field-axis exponents alongside</w:t>
      </w:r>
      <w:r>
        <w:t xml:space="preserve"> </w:t>
      </w:r>
      <w:r>
        <w:t xml:space="preserve">both critical-field values, the resolved one used in the fit and the literature</w:t>
      </w:r>
      <w:r>
        <w:t xml:space="preserve"> </w:t>
      </w:r>
      <w:r>
        <w:t xml:space="preserve">zero-temperature one, with the provenance string for each; and Table S6 gives candidate</w:t>
      </w:r>
      <w:r>
        <w:t xml:space="preserve"> </w:t>
      </w:r>
      <w:r>
        <w:t xml:space="preserve">dispatch rows, including refused rows carrying their reason code and no value. We selected these rows to be useful rather than favourable. Table S5 includes the fits whose</w:t>
      </w:r>
      <w:r>
        <w:t xml:space="preserve"> </w:t>
      </w:r>
      <w:r>
        <w:t xml:space="preserve">resolved scale sits far below the literature value and whose exponents run against the</w:t>
      </w:r>
      <w:r>
        <w:t xml:space="preserve"> </w:t>
      </w:r>
      <w:r>
        <w:t xml:space="preserve">numerical bound, since those are the fits that motivate the qualification in Sec. III.F. They</w:t>
      </w:r>
      <w:r>
        <w:t xml:space="preserve"> </w:t>
      </w:r>
      <w:r>
        <w:t xml:space="preserve">should be visible in the paper rather than only in the deposit.</w:t>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w:t>
      </w:r>
      <w:r>
        <w:t xml:space="preserve"> </w:t>
      </w:r>
      <w:r>
        <w:t xml:space="preserve">where a paper’s critical scale was held fixed across measurement temperatures, the fitted</w:t>
      </w:r>
      <w:r>
        <w:t xml:space="preserve"> </w:t>
      </w:r>
      <w:r>
        <w:t>field exponent drifts systematically with temperature. Across the series in which one scale was held over three or more measurement temperatures, the median absolute rank correlation between exponent and temperature is 0.80. That figure has moved since the deposited version of this analysis and we give both: on the table as first deposited there were 18 such series with a median of 0.70, rising to 0.80 in the nine sampled at four or more temperatures, and after the withdrawals described below there are 13 and 6, both at 0.80. The effect the referee anticipated is unchanged in direction and slightly larger. A series here is one source paper, one sample and one held critical scale, which is what makes the scale held by construction; the statistic is the rank correlation between the fixed measurement temperature and the fitted field exponent. We withdraw the worked example we gave, for two reasons rather than one.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of that, the exponent is not monotone over the window we quoted: it falls from 1.25 at 2 K to 0.82 at 10 K before rising to 12.14 at 35 K, and the rank correlation over that window is 0.79 rather than the near-unity our phrasing implied. The sentence described a rise that does not happen over the first third of its own range, and we would have had to correct it whatever became of the unit. In its place, and with a caveat we state rather than leave for the reader to find: the clearest surviving case is the Ba(Fe,Co)2As2 single crystal of Materials Today Physics 27 (2022) 100783, with a scale held at 4.5 T, whose fitted exponent rises from 0.26 to 0.86 across nine measurement temperatures from 4.2 to 18 K with a rank correlation of 1.00. Exactly two series in the surviving cohort clear our filters and both come from that paper, the other being a polycrystal record we have since identified as a copy of this one and withdrawn. This record is itself graded weak in our audit, sitting 1.3 to 1.7 times above a retrace of its own figure with a wrong tail, so we offer it as the best surviving illustration and not as a clean one.</w:t>
      </w:r>
      <w:r/>
      <w:r/>
      <w:r/>
      <w:r/>
      <w:r/>
      <w:r/>
      <w:r/>
      <w:r>
        <w:t xml:space="preserve"> Over that range</w:t>
      </w:r>
      <w:r>
        <w:t xml:space="preserve"> </w:t>
      </w:r>
      <w:r>
        <w:t xml:space="preserve">the exponent is measuring the misspecification rather than the pinning physics, and we now</w:t>
      </w:r>
      <w:r>
        <w:t xml:space="preserve"> </w:t>
      </w:r>
      <w:r>
        <w:t xml:space="preserve">say so. The same assumption now states the two further departures the referee identifies,</w:t>
      </w:r>
      <w:r>
        <w:t xml:space="preserve"> </w:t>
      </w:r>
      <w:r>
        <w:t xml:space="preserve">the exponential or stretched-exponential low-temperature behaviour arising from thermal</w:t>
      </w:r>
      <w:r>
        <w:t xml:space="preserve"> </w:t>
      </w:r>
      <w:r>
        <w:t xml:space="preserve">activation of vortices, and the change of dominant pinning regime with field and</w:t>
      </w:r>
      <w:r>
        <w:t xml:space="preserve"> </w:t>
      </w:r>
      <w:r>
        <w:t xml:space="preserve">temperature, which together mean that a single exponent per axis describes an average over</w:t>
      </w:r>
      <w:r>
        <w:t xml:space="preserve"> </w:t>
      </w:r>
      <w:r>
        <w:t xml:space="preserve">regimes rather than one mechanism.</w:t>
      </w:r>
    </w:p>
    <w:p>
      <w:pPr>
        <w:pStyle w:val="BodyText"/>
      </w:pPr>
      <w:r>
        <w:t xml:space="preserve">We should also concede two things the referee’s objection exposes that our applicability window</w:t>
      </w:r>
      <w:r>
        <w:t xml:space="preserve"> </w:t>
      </w:r>
      <w:r>
        <w:t xml:space="preserve">does not in fact handle. The window bounds reduced temperature only from above, so it does not</w:t>
      </w:r>
      <w:r>
        <w:t xml:space="preserve"> </w:t>
      </w:r>
      <w:r>
        <w:t xml:space="preserve">exclude the low-temperature regime at all, and our own worked example runs to 2 K while the</w:t>
      </w:r>
      <w:r>
        <w:t xml:space="preserve"> </w:t>
      </w:r>
      <w:r>
        <w:t>dispatch reports at 4.2 K. And the window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what that bound is. Eq. (1) admits a curve to the fit on the width of its measured field interval, not on where a single point sits, so the two are not the same test; we apply the stricter reading to what we emit and say so.</w:t>
      </w:r>
      <w:r/>
      <w:r/>
      <w:r/>
      <w:r/>
      <w:r>
        <w:t xml:space="preserve"> </w:t>
      </w:r>
      <w:r>
        <w:t xml:space="preserve">Assumption 1 now states both plainly, and Section III.E carries the second as a labelled</w:t>
      </w:r>
      <w:r>
        <w:t xml:space="preserve"> </w:t>
      </w:r>
      <w:r>
        <w:t xml:space="preserve">limitation ahead of any dispatched value rather than after it.</w:t>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in this class is smaller than the grouping produces by chance. Section III.A states that this is consistent with the two-band character of MgB2 and with its documented sensitivity to production route, both of which act through variables a sample-form label does not capture. We have to concede the test itself, separately from the result, and we would rather state this than let the referee find it.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the corpus we retrieved does not contain; we name that as the specific data requirement rather than as a general call for more data. Separately, and this is our error rather than a limit of the literature: 26 of the 96 anchor rows behind this diagnostic held values that contradict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w:t>
      </w:r>
      <w:r>
        <w:t xml:space="preserve"> </w:t>
      </w:r>
      <w:r>
        <w:t xml:space="preserve">current is set mainly by the London penetration depth and depends only weakly on doping,</w:t>
      </w:r>
      <w:r>
        <w:t xml:space="preserve"> </w:t>
      </w:r>
      <w:r>
        <w:t xml:space="preserve">sample shape, and production route, then predictions evaluated near self-field should</w:t>
      </w:r>
      <w:r>
        <w:t xml:space="preserve"> </w:t>
      </w:r>
      <w:r>
        <w:t xml:space="preserve">cluster, which is the narrow spread the referee questions below. We have adopted the</w:t>
      </w:r>
      <w:r>
        <w:t xml:space="preserve"> </w:t>
      </w:r>
      <w:r>
        <w:t xml:space="preserve">suggestion. Figure 5 has been redrawn against reduced field over the window across which the</w:t>
      </w:r>
      <w:r>
        <w:t xml:space="preserve"> </w:t>
      </w:r>
      <w:r>
        <w:t xml:space="preserve">exponent is validated, rather than against absolute field to 10 T, where the reduced field</w:t>
      </w:r>
      <w:r>
        <w:t xml:space="preserve"> </w:t>
      </w:r>
      <w:r>
        <w:t xml:space="preserve">reaches only about 0.2. Redrawing it changed a claim. The three fields at which the dispatch grid is evaluated all fall in the low-reduced-field</w:t>
      </w:r>
      <w:r>
        <w:t xml:space="preserve"> </w:t>
      </w:r>
      <w:r>
        <w:t xml:space="preserve">corner. Plotted across the validated range, the envelopes are not parallel. The iron</w:t>
      </w:r>
      <w:r>
        <w:t xml:space="preserve"> </w:t>
      </w:r>
      <w:r>
        <w:t xml:space="preserve">chalcogenide and iron pnictide curves cross at a reduced field of 0.59, and above that point</w:t>
      </w:r>
      <w:r>
        <w:t xml:space="preserve"> </w:t>
      </w:r>
      <w:r>
        <w:t xml:space="preserve">the 122-type envelope is the higher of the two, by 0.40 dex at a reduced field of 0.9. Section III.E previously said the family ordering was unchanged at every evaluated field.</w:t>
      </w:r>
      <w:r>
        <w:t xml:space="preserve"> </w:t>
      </w:r>
      <w:r>
        <w:t xml:space="preserve">That remains true of the three evaluated fields, and the text now says so in those terms and</w:t>
      </w:r>
      <w:r>
        <w:t xml:space="preserve"> </w:t>
      </w:r>
      <w:r>
        <w:t xml:space="preserve">reports the crossing alongside it. The screening claim is now limited to low reduced field.</w:t>
      </w:r>
      <w:r>
        <w:t xml:space="preserve"> </w:t>
      </w:r>
      <w:r>
        <w:t xml:space="preserve">Clearly, the crossing follows from the fitted field exponents and the critical-field</w:t>
      </w:r>
      <w:r>
        <w:t xml:space="preserve"> </w:t>
      </w:r>
      <w:r>
        <w:t xml:space="preserve">anchors, the two quantities Section III.F qualifies, so we report it to bound the screening</w:t>
      </w:r>
      <w:r>
        <w:t xml:space="preserve"> </w:t>
      </w:r>
      <w:r>
        <w:t xml:space="preserve">claim, not as a prediction that 122-type overtakes the 11-type family in high field. We would not have seen this without the</w:t>
      </w:r>
      <w:r>
        <w:t xml:space="preserve"> </w:t>
      </w:r>
      <w:r>
        <w:t xml:space="preserve">referee’s suggestion.</w:t>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w:t>
      </w:r>
      <w:r>
        <w:t xml:space="preserve"> </w:t>
      </w:r>
      <w:r>
        <w:t xml:space="preserve">explanation is structural rather than statistical.</w:t>
      </w:r>
      <w:r>
        <w:t xml:space="preserve"> </w:t>
      </w:r>
      <w:r>
        <w:t>Section III.E now reports this, and the reduced-field gate introduced in this revision has since narrowed what there is to report. Only the MgB2 class still dispatches; the iron chalcogenide and iron pnictide 122-type dispatches are refused in full. We have to correct a count before answering.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at that point; at 20 K and 5 T the 77 records span 0.259 dex. At 20 K the explanation we gave holds: the conditioning fixes every parameter of the expression and the compound-specific inputs are the critical-field anchor and the transition temperature. The prediction regresses on the temperature term the model forms with a slope of 1.22 and an R squared of 0.996, recovering the family exponent of 1.14, so the candidate's own transition temperature enters exactly as described. At 4.2 K it cannot enter, and this is the part we had not seen. The model is anchored at a reference point, and its temperature term is the difference between log10(1 - T/Tc) and the same quantity at that reference. The reference temperature is 4.2 K. At 4.2 K the difference is therefore identically zero for every candidate whatever its transition temperature, and across 59 distinct anchors from 8.9 to 41.4 K the largest value that term takes is exactly zero. Every dispatched record also carries the same 15.5 T parent critical-field anchor, so the field term is one shared number. The prediction at that grid point is a single family-level constant, 4.980 in log10 Jc, which is the family's own critical-current anchor of 5.324 displaced by 0.344 dex by the shared field term. So the referee's reading is right and the figure supports it more strongly than we claimed. What the 0.0098 dex measures is not a spread between compounds. With the temperature term zero and the field anchor common, all 86 records have identical model inputs and differ only in their draw from one bootstrap stream over a pool of 18 fits. Resampling that pool 84 times independently returns a span of 0.0092 dex with a standard deviation of 0.0016, of which the observed value is an ordinary draw. The number is evidence that the predictor is constant at that point and evidence of nothing else, and we no longer offer it as a measured quantity. What would let us report a compound-resolved spread is a dispatch grid that does not evaluate at the anchor's own reference temperature, which the present grid does, and we state that as the specific change rather than as a general limitation.</w:t>
      </w:r>
      <w:r/>
      <w:r/>
      <w:r/>
      <w:r/>
      <w:r/>
      <w:r/>
      <w:r/>
      <w:r/>
      <w:r/>
      <w:r/>
      <w:r/>
      <w:r/>
    </w:p>
    <w:p>
      <w:pPr>
        <w:pStyle w:val="BodyText"/>
      </w:pPr>
      <w:r>
        <w:t>On precision, we have adopted the referee's correction and no longer carry a third digit. The width itself has since changed. The 0.388 dex the referee read was the median over the predictions the pipeline emitted before the reduced-field gate introduced in this revision; over the 163 predictions that survive our refusal gates the median full width is 0.61 dex, a factor of about 4.1, and 0.60 dex at the 4.2 K grid point specifically.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w:t>
      </w:r>
      <w:r/>
      <w:r>
        <w:t xml:space="preserve"> Fitted errors and exponents are still given to three figures where they</w:t>
      </w:r>
      <w:r>
        <w:t xml:space="preserve"> </w:t>
      </w:r>
      <w:r>
        <w:t xml:space="preserve">are compared against one another across families, since rounding them to two would collapse</w:t>
      </w:r>
      <w:r>
        <w:t xml:space="preserve"> </w:t>
      </w:r>
      <w:r>
        <w:t xml:space="preserve">distinctions the applicability table turns on; we have removed the third digit wherever it was</w:t>
      </w:r>
      <w:r>
        <w:t xml:space="preserve"> </w:t>
      </w:r>
      <w:r>
        <w:t>carrying no comparison. We have also adopted the suggested gloss, giving the width as a factor in the critical current rather than only in dex: it is a factor of about 4.1</w:t>
      </w:r>
      <w:r/>
      <w:r>
        <w:t>, and</w:t>
      </w:r>
      <w:r>
        <w:t xml:space="preserve"> </w:t>
      </w:r>
      <w:r>
        <w:t xml:space="preserve">Table S2 of the Supplemental Material carries the same conversion for dex generally.</w:t>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w:t>
      </w:r>
      <w:r>
        <w:t xml:space="preserve"> </w:t>
      </w:r>
      <w:r>
        <w:t>quantity. Table I of Section II.A now gives the full ladder in one place: 934 articles screened, 50 contributing fitted curves, 35 distinct compounds, 3303 extracted critical-current points, 257 temperature-axis fits, 52 field-axis fits drawn from 12 source papers, and 96 per-paper anchors behind Figure 3. The counts for contributing papers, compounds and extracted points are lower than in the previous revision because eleven papers were withdrawn from the cohort and their provenance rows had not been removed with them; the reasons are set out below. The figure of 50 is no longer introduced first in the Supplemental Material</w:t>
      </w:r>
      <w:r/>
      <w:r/>
      <w:r/>
      <w:r/>
      <w:r/>
      <w:r/>
      <w:r/>
      <w:r>
        <w:t>; it appears in the</w:t>
      </w:r>
      <w:r>
        <w:t xml:space="preserve"> </w:t>
      </w:r>
      <w:r>
        <w:t xml:space="preserve">main text and the Supplemental Material inherits it. The abstract now leads with the smaller</w:t>
      </w:r>
      <w:r>
        <w:t xml:space="preserve"> </w:t>
      </w:r>
      <w:r>
        <w:t xml:space="preserve">numbers rather than with 934. The referee is also right that the figure and the tables appear to disagree, and we should</w:t>
      </w:r>
      <w:r>
        <w:t xml:space="preserve"> </w:t>
      </w:r>
      <w:r>
        <w:t xml:space="preserve">have labelled the difference. The markers in Figure 3 are</w:t>
      </w:r>
      <w:r>
        <w:t xml:space="preserve"> </w:t>
      </w:r>
      <w:r>
        <w:t xml:space="preserve">per physical sample, one per source paper and specimen with multiple isotherms of the same</w:t>
      </w:r>
      <w:r>
        <w:t xml:space="preserve"> </w:t>
      </w:r>
      <w:r>
        <w:t xml:space="preserve">specimen averaged into a single record, while the tables count per-curve fits, so the two are</w:t>
      </w:r>
      <w:r>
        <w:t xml:space="preserve"> </w:t>
      </w:r>
      <w:r>
        <w:t>different objects. The caption now gives both numbers, 56 of the 96 anchors falling in the three panels shown and the 37 markers they collapse to</w:t>
      </w:r>
      <w:r/>
      <w:r>
        <w:t>, and we accept that the panels are overplotted enough that counting the markers by eye could</w:t>
      </w:r>
      <w:r>
        <w:t xml:space="preserve"> </w:t>
      </w:r>
      <w:r>
        <w:t xml:space="preserve">not have given the right figure.</w:t>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not logarithmic, and</w:t>
      </w:r>
      <w:r>
        <w:t xml:space="preserve"> </w:t>
      </w:r>
      <w:r>
        <w:t xml:space="preserve">labelling them in dex is what made 10.10 read as ten orders of magnitude in current density.</w:t>
      </w:r>
      <w:r>
        <w:t xml:space="preserve"> </w:t>
      </w:r>
      <w:r>
        <w:t xml:space="preserve">This is corrected throughout the manuscript and the Supplemental Material. The cohorts were</w:t>
      </w:r>
      <w:r>
        <w:t xml:space="preserve"> </w:t>
      </w:r>
      <w:r>
        <w:t>also mismatched: the larger error is computed across the nine substructure families of an earlier version of this analysis and the</w:t>
      </w:r>
      <w:r>
        <w:t xml:space="preserve"> </w:t>
      </w:r>
      <w:r>
        <w:t xml:space="preserve">smaller across the five that carry populated sample-form cells, so the ratio compared</w:t>
      </w:r>
      <w:r>
        <w:t xml:space="preserve"> </w:t>
      </w:r>
      <w:r>
        <w:t>different populations. Restricting to the matched five-family cohort removes that mismatch but not a more serious one, which we found on re-examining the comparison: in both versions the predictor for a held-out family was built from a pool containing that family's own fits, so neither was a statement about generalization. Under a leave-one-substructure-out protocol, with the held-out family withheld at every stage, we can no longer report a fold improvement at all, and we give the errors instead. On the fits passing physicality the mean absolute error in the exponent is 1.19 without conditioning and 0.55 with it; across all seven families carrying a descriptor it is 12.3 and 14.9, which is conditioning doing worse than not conditioning. An earlier version of this reply quoted 1.07, 2.24 and 1.83 for the three cohorts. We withdraw those three figures because they repeat the defect they were introduced to replace. The sample-form-conditional scope is undefined for the MgB2 class, since once the cuprate families are gated out no other family contributes a bulk or wire fit, so its error is missing and the mean silently skips it: 2.24 and 1.83 divide a four-family numerator by a three-family denominator, exactly the mismatched-cohort error we identify above as the reason the 23-fold was wrong. Matched over the families the predictor can actually score they are 2.17 and 2.11. They were also the lowest of four ways of forming the conditional prediction, and the lowest is not the same one on every cohort, so the three figures were not a common quantity. Nor is the protocol stable enough to carry a ratio at this scope. On the 52 field-axis fits that survive the anchor repairs and the fitting protocol there are four substructure families and therefore four folds, the unconditioned stage is a two-parameter fit on three training points in each, and removing any single family moves the ratio between 0.74 and 550. The referee's objection is therefore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w:t>
      </w:r>
      <w:r/>
      <w:r>
        <w:t xml:space="preserve"> The referee is further</w:t>
      </w:r>
      <w:r>
        <w:t xml:space="preserve"> </w:t>
      </w:r>
      <w:r>
        <w:t xml:space="preserve">correct that the cuprates dominate the residual. Section 1 of the Supplemental Material</w:t>
      </w:r>
      <w:r>
        <w:t xml:space="preserve"> </w:t>
      </w:r>
      <w:r>
        <w:t>reports that they account for 59% of the residual mass while representing 43% of the cohort.</w:t>
      </w:r>
      <w:r>
        <w:t xml:space="preserve"> </w:t>
      </w:r>
      <w:r>
        <w:t xml:space="preserve">Three cuprate substructures reach the imposed regression ceiling because their measured field</w:t>
      </w:r>
      <w:r>
        <w:t xml:space="preserve"> </w:t>
      </w:r>
      <w:r>
        <w:t xml:space="preserve">windows lie far below the critical field. Every exponent entering</w:t>
      </w:r>
      <w:r>
        <w:t xml:space="preserve"> </w:t>
      </w:r>
      <w:r>
        <w:t xml:space="preserve">the ratio also inherits the field-scale qualification described below, and we label it as such.</w:t>
      </w:r>
      <w:r>
        <w:t xml:space="preserve"> </w:t>
      </w:r>
      <w:r>
        <w:t xml:space="preserve">Applying the same test elsewhere in the paper, we found the mismatched-cohort error a second</w:t>
      </w:r>
      <w:r>
        <w:t xml:space="preserve"> </w:t>
      </w:r>
      <w:r>
        <w:t>time: the 26.8% anchor-count reduction quoted in Section III.B compared a three-compound one-anchor value against a four-compound three-anchor one; the matched pair gives 45.2%.</w:t>
      </w:r>
      <w:r/>
      <w:r>
        <w:t xml:space="preserve"> That matched pair, 1.267 to 0.694, is the figure we now carry.</w:t>
      </w:r>
      <w:r/>
      <w:r/>
    </w:p>
    <w:p>
      <w:pPr>
        <w:pStyle w:val="BodyText"/>
      </w:pPr>
      <w:r>
        <w:t>The conditioning claim no longer rests on this ratio at all, and we have to be careful about what we move it onto. An earlier version of this reply rested it on the variance-decomposition diagnostic. That will not do, because we concede above that the diagnostic cannot establish the regime distinction it is used to draw: sample form is very nearly a relabelling of source paper in this corpus, and under the only null that respects that structure no family cell can reach a probability below 0.10.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What the claim rests on is the temperature axis, and the evidence is the permutation test reported under the changes we made on our own, below: with source papers as the unit and the substructure label shuffled between them, the family accounts for a rising fraction of the between-paper variance in the temperature exponent as the anchors are corrected, while on the field axis it accounts for essentially none under either version. We do not restate those figures here. The point for this objection is only that the conditioning claim is a temperature-axis claim, that it is the one result in this paper that improved under every correction we made, and that neither the ratio the referee questioned nor the sample-form diagnostic is load-bearing for it.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w:t>
      </w:r>
      <w:r>
        <w:t xml:space="preserve"> </w:t>
      </w:r>
      <w:r>
        <w:t xml:space="preserve">scale, reported in Section III.F of the main text and in Section 13 of the Supplemental</w:t>
      </w:r>
      <w:r>
        <w:t xml:space="preserve"> </w:t>
      </w:r>
      <w:r>
        <w:t xml:space="preserve">Material. Sixteen papers from the field-axis cohort were read independently by two</w:t>
      </w:r>
      <w:r>
        <w:t xml:space="preserve"> </w:t>
      </w:r>
      <w:r>
        <w:t xml:space="preserve">vision-language models of a later generation than the pair used for extraction, each prompted</w:t>
      </w:r>
      <w:r>
        <w:t xml:space="preserve"> </w:t>
      </w:r>
      <w:r>
        <w:t xml:space="preserve">separately and each told that</w:t>
      </w:r>
      <w:r>
        <w:t xml:space="preserve"> </w:t>
      </w:r>
      <w:r>
        <w:t xml:space="preserve">“</w:t>
      </w:r>
      <w:r>
        <w:t xml:space="preserve">no such data in this paper</w:t>
      </w:r>
      <w:r>
        <w:t xml:space="preserve">”</w:t>
      </w:r>
      <w:r>
        <w:t xml:space="preserve"> </w:t>
      </w:r>
      <w:r>
        <w:t xml:space="preserve">is a correct answer. For eight of the sixteen, both models</w:t>
      </w:r>
      <w:r>
        <w:t xml:space="preserve"> </w:t>
      </w:r>
      <w:r>
        <w:t xml:space="preserve">reported that the paper contains no plot of critical field against temperature, while the</w:t>
      </w:r>
      <w:r>
        <w:t xml:space="preserve"> </w:t>
      </w:r>
      <w:r>
        <w:t xml:space="preserve">pipeline held extracted values for all eight, in each case from a figure showing something</w:t>
      </w:r>
      <w:r>
        <w:t xml:space="preserve"> </w:t>
      </w:r>
      <w:r>
        <w:t xml:space="preserve">else. Across the cohort the assigned scale barely exceeds the largest field actually measured on</w:t>
      </w:r>
      <w:r>
        <w:t xml:space="preserve"> </w:t>
      </w:r>
      <w:r>
        <w:t>the curve it anchors. The median ratio of measured maximum to assigned scale is 0.88, and 11 of the 52 curves admitted by the stated fitting protocol sit above 0.9. On the cohort as published the same rule gave 0.80 and 15 of 94, so the exposure rises rather than falls once the anchors are repaired.</w:t>
      </w:r>
      <w:r/>
      <w:r>
        <w:t xml:space="preserve"> That is how a scale read from a curve endpoint behaves, not how</w:t>
      </w:r>
      <w:r>
        <w:t xml:space="preserve"> </w:t>
      </w:r>
      <w:r>
        <w:t xml:space="preserve">an independently measured critical field behaves. Two further defects compound this. The resolution routine returned the nearest series</w:t>
      </w:r>
      <w:r>
        <w:t xml:space="preserve"> </w:t>
      </w:r>
      <w:r>
        <w:t>endpoint rather than extrapolating, which underestimates the scale by a median factor of 6.7 across the 38 fits it affects.</w:t>
      </w:r>
      <w:r/>
      <w:r>
        <w:t xml:space="preserve"> And five papers carried a magnetic field unit error in which</w:t>
      </w:r>
      <w:r>
        <w:t xml:space="preserve"> </w:t>
      </w:r>
      <w:r>
        <w:t xml:space="preserve">kilo-oersted had been recorded as tesla, since corrected in the deposited data.</w:t>
      </w:r>
    </w:p>
    <w:p>
      <w:pPr>
        <w:pStyle w:val="BodyText"/>
      </w:pPr>
      <w:r>
        <w:t xml:space="preserve">We attempted a rebuild against a properly temperature-resolved critical scale and could not</w:t>
      </w:r>
      <w:r>
        <w:t xml:space="preserve"> </w:t>
      </w:r>
      <w:r>
        <w:t>complete it. The reason lies in the literature rather than in our pipeline. A caption-scoped screen over the 2594 papers in the archive finds 137 carrying captions for both measurements</w:t>
      </w:r>
      <w:r/>
      <w:r/>
      <w:r/>
      <w:r>
        <w:t>, 117 of them in the three dispatched families. Whether a candidate is usable</w:t>
      </w:r>
      <w:r>
        <w:t xml:space="preserve"> </w:t>
      </w:r>
      <w:r>
        <w:t xml:space="preserve">turns on its measured field span, which can only be settled by reading the numbers, so 29</w:t>
      </w:r>
      <w:r>
        <w:t xml:space="preserve"> </w:t>
      </w:r>
      <w:r>
        <w:t xml:space="preserve">candidates prioritized by family need were read independently by two models and span-tested. Four</w:t>
      </w:r>
      <w:r>
        <w:t xml:space="preserve"> </w:t>
      </w:r>
      <w:r>
        <w:t xml:space="preserve">MgB2-class and two iron chalcogenide papers pass, one of the latter borderline, and no iron</w:t>
      </w:r>
      <w:r>
        <w:t xml:space="preserve"> </w:t>
      </w:r>
      <w:r>
        <w:t xml:space="preserve">pnictide 122-type paper passes, in every case because the paper reports no critical field of its</w:t>
      </w:r>
      <w:r>
        <w:t xml:space="preserve"> </w:t>
      </w:r>
      <w:r>
        <w:t xml:space="preserve">own. Only MgB2-class clears the three-paper threshold set before the search, and iron pnictide 122-type, the family that needed the evidence most, yielded nothing. Plainly, the literature we could reach does not supply the pairing we need. It does not show</w:t>
      </w:r>
      <w:r>
        <w:t xml:space="preserve"> </w:t>
      </w:r>
      <w:r>
        <w:t xml:space="preserve">that the remaining candidates contain none, and the deposited screen lists every candidate so</w:t>
      </w:r>
      <w:r>
        <w:t xml:space="preserve"> </w:t>
      </w:r>
      <w:r>
        <w:t xml:space="preserve">that the search can be continued rather than repeated. Requiring a shared compound and shared</w:t>
      </w:r>
      <w:r>
        <w:t xml:space="preserve"> </w:t>
      </w:r>
      <w:r>
        <w:t xml:space="preserve">authorship, cross-paper pairing of a critical-current paper with a separate critical-field</w:t>
      </w:r>
      <w:r>
        <w:t xml:space="preserve"> </w:t>
      </w:r>
      <w:r>
        <w:t xml:space="preserve">paper returns no valid pairs. We report this as a finding rather than an obstacle. It is the same comparability principle</w:t>
      </w:r>
      <w:r>
        <w:t xml:space="preserve"> </w:t>
      </w:r>
      <w:r>
        <w:t xml:space="preserve">the paper argues for, applied one level down.</w:t>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does not reproduce from its own generator. Running the deposited dispatch code on the deposited tables returns the released file exactly, with one exception: for two records of one paper the generator commits to a wire sample-form cell and the released file does not, and those two records carry four of the emitted predictions. Every other column matches and the remaining predictions differ by at most 0.014 in log10 Jc, which is the bootstrap draw. The difference predates this revision and none of the corrections reported above is implicated. Separately, our withdrawals were applied by editing the deposited tables while the candidate list is rebuilt from the extraction directory, so regenerating restores six withdrawn candidates; all six are refused and no emitted prediction changes, but the generator cannot enforce a withdrawal and we say so rather than leave a reader to find it. Both are recorded in the deposited audit.</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and correcting the anchors makes the separation stronger. Matched on the seventeen papers common to both versions, the fraction of between-paper variance the family accounts for rises from 0.44 to 0.52, with a permutation probability falling from 0.016 to 0.007.</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we report the field axis as not separating the families rather than omitting it.</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w:t>
      </w:r>
      <w:r>
        <w:t xml:space="preserve"> </w:t>
      </w:r>
      <w:r>
        <w:t xml:space="preserve">is 0.753 rather than 0.772. The universal scaling reduction is 13.0% on the</w:t>
      </w:r>
      <w:r>
        <w:t xml:space="preserve"> </w:t>
      </w:r>
      <w:r>
        <w:t>standard-deviation scale rather than 14.1%. The candidate cohort comprises 183 distinct compounds, and the 233 evaluated records and 212 retained after the calibration screen are record counts in which one compound may appear more than once.</w:t>
      </w:r>
      <w:r/>
      <w:r/>
      <w:r/>
      <w:r>
        <w:t xml:space="preserve"> An artificial intelligence use disclosure has been added in</w:t>
      </w:r>
      <w:r>
        <w:t xml:space="preserve"> </w:t>
      </w:r>
      <w:r>
        <w:t xml:space="preserve">accordance with APS policy, naming the models used at each stage, how they were directed,</w:t>
      </w:r>
      <w:r>
        <w:t xml:space="preserve"> </w:t>
      </w:r>
      <w:r>
        <w:t xml:space="preserve">and how their output was verified, including the cross-model agreement gate that produced</w:t>
      </w:r>
      <w:r>
        <w:t xml:space="preserve"> </w:t>
      </w:r>
      <w:r>
        <w:t xml:space="preserve">the audit above.</w:t>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