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that figure was compared against in the previous version, because we could give no construction for it, and Sec. III.D now tests the scaling claim directly instead: the reduced coordinates carry no more structure than the same grid rotated to a random angle, and unnormalized temperature and applied field organize the same records better by isolating compounds. The conditioning claim rests on the temperature-axis separation reported in Sec. III.C, not on the variance-decomposition diagnostic and not on the error ratio Referee A questioned; the diagnostic sets the conditioning rule per family and is reported with the clustered-null floors that prevent it from establishing the distinction.</w:t>
      </w:r>
      <w:r>
        <w:t xml:space="preserve"/>
      </w:r>
      <w:r>
        <w:t xml:space="preserve"/>
      </w:r>
      <w:r>
        <w:t xml:space="preserve"/>
      </w:r>
      <w:r>
        <w:t xml:space="preserve"/>
      </w:r>
      <w:r>
        <w:t xml:space="preserve"/>
      </w:r>
      <w:r>
        <w:t xml:space="preserve"/>
      </w:r>
      <w:r>
        <w:t xml:space="preserve"/>
      </w:r>
      <w:r>
        <w:t xml:space="preserve"/>
      </w:r>
      <w:r>
        <w:t xml:space="preserve"/>
      </w:r>
      <w:r>
        <w:t xml:space="preserve">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 labels,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the evidence is the permutation test reported under the changes we made on our own, below: with source papers as the unit and the substructure label shuffled between them, the family accounts for a rising fraction of the between-paper variance in the temperature exponent as the anchors are corrected, while on the field axis it accounts for essentially none under either version. We do not restate those figures here. The point for this objection is only that the conditioning claim is a temperature-axis claim, and that neither the ratio the referee questioned nor the sample-form diagnostic carries it. We had also described it as the one result that improved under every correction; the audit section below withdraws that description and gives the full history in its place.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Our own note on those withdrawals records that the screen which selected them is not independent of the exponent, and that it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themselves do not reproduce from their own figures: of the fourteen we could score against a pixel trace, none does, at a median ratio of 0.42. On the exponents rebuilt from those traces, which are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on this cohort that objection can be settled by enumeration rather than by sampling: the eight compounds admit 966 distinct ways of forming three families, four of them reach the observed separation, and the exact probability is 0.0041, or 0.0083 with one observation per compound. One of the alternative groupings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it. A final pass over every reported quantity, made after the audit above, found five more defects and we correct all of them. The adoption threshold of 30% that our universality claim was compared against had no construction anywhere in our analysis, and the quantity its own defining sentence named as the benchmark was twenty times smaller. It is withdrawn, and Sec. III.D now tests the scaling claim directly instead, against coordinates chosen to carry no physics. Stage 3's error of 0.84 was described as a leave-one-substructure-out result and is not one: the held-out family predicted itself, which is the same defect we concede above for Stages 1 and 2, from the same run. Under genuine withholding it is 0.816. The propagated uncertainty of 0.29 dex used a temperature-exponent scatter that does not reproduce from our own deposit and that predates the anchor repair; on the repaired exponent it is 0.27 dex, and the accompanying statement that a correlation between the terms would make it a lower bound is wrong for this functional form, so we now claim no bound. Table II's holdout margin does not separate Form 3 from Form 2 once the three forms are scored on identical rows and the same compounds, so Sec. II.C now adopts Form 3 for the separability the rest of the paper requires and reports the comparison as it falls. And the per-family parameters behind Figure 5 could not be regenerated from the deposit at all, because the module that produced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which is the same unit repair we describe above applied where we had missed it. The propagated uncertainty is 0.27 dex rather than 0.29. The fifteen MgB2 temperature fits are described as the deposited file has them, six of them resting on three points rather than one, and the fit we reported with a root-mean-square residual of 6.3 has one of 6.3 times ten to the minus fourteen. The Supplemental Material now carries the disposition of all 94 field-axis fits individually, which an earlier version of this letter said it did.</w:t>
      </w:r>
      <w:r>
        <w:t xml:space="preserve"/>
      </w:r>
      <w:r>
        <w:t xml:space="preserve"/>
      </w:r>
      <w:r>
        <w:t xml:space="preserve"/>
      </w:r>
      <w:r>
        <w:t>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