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1F3864"/>
          <w:sz w:val="56"/>
          <w:szCs w:val="56"/>
        </w:rPr>
        <w:t xml:space="preserve">MoTrans-15</w:t>
      </w:r>
    </w:p>
    <w:p>
      <w:pPr>
        <w:spacing w:after="240"/>
        <w:jc w:val="center"/>
      </w:pPr>
      <w:r>
        <w:rPr>
          <w:rFonts w:ascii="Arial" w:cs="Arial" w:eastAsia="Arial" w:hAnsi="Arial"/>
          <w:sz w:val="32"/>
          <w:szCs w:val="32"/>
        </w:rPr>
        <w:t xml:space="preserve">Dataset build: summary of Phases A to E</w:t>
      </w:r>
    </w:p>
    <w:p>
      <w:pPr>
        <w:spacing w:after="120"/>
        <w:jc w:val="center"/>
      </w:pPr>
      <w:r>
        <w:rPr>
          <w:rFonts w:ascii="Arial" w:cs="Arial" w:eastAsia="Arial" w:hAnsi="Arial"/>
          <w:sz w:val="22"/>
          <w:szCs w:val="22"/>
        </w:rPr>
        <w:t xml:space="preserve">Monetary transmission to equities across the 15 largest economies</w:t>
      </w:r>
    </w:p>
    <w:p>
      <w:pPr>
        <w:spacing w:after="120"/>
        <w:jc w:val="center"/>
      </w:pPr>
      <w:r>
        <w:rPr>
          <w:rFonts w:ascii="Arial" w:cs="Arial" w:eastAsia="Arial" w:hAnsi="Arial"/>
          <w:sz w:val="22"/>
          <w:szCs w:val="22"/>
        </w:rPr>
        <w:t xml:space="preserve">Repository: github.com/prachi-3011/MoTrans-15   |   Status as of 13 October 2026</w:t>
      </w:r>
    </w:p>
    <w:p>
      <w:pPr>
        <w:spacing w:after="1200"/>
        <w:jc w:val="center"/>
      </w:pPr>
      <w:r>
        <w:rPr>
          <w:rFonts w:ascii="Arial" w:cs="Arial" w:eastAsia="Arial" w:hAnsi="Arial"/>
          <w:color w:val="595959"/>
          <w:sz w:val="18"/>
          <w:szCs w:val="18"/>
        </w:rPr>
        <w:t xml:space="preserve">Commits: Phase A cde5270 · B1 8d88049 · B2 ff6029d · Gate B 0abb455 · C 51d6a69 · D 0553677 · E bbba8e3</w:t>
      </w:r>
    </w:p>
    <w:sdt>
      <w:sdtPr>
        <w:alias w:val="Contents"/>
      </w:sdtPr>
      <w:sdtContent>
        <w:p>
          <w:pPr>
            <w:pStyle w:val="TOC1"/>
            <w:tabs>
              <w:tab w:val="right" w:pos="9306" w:leader="dot"/>
            </w:tabs>
          </w:pPr>
          <w:r>
            <w:fldChar w:fldCharType="begin" w:dirty="true"/>
            <w:instrText xml:space="preserve">TOC \h \o "1-2"</w:instrText>
            <w:fldChar w:fldCharType="separate"/>
          </w:r>
          <w:hyperlink w:history="1" w:anchor="_Toc1">
            <w:r>
              <w:t xml:space="preserve">1. Summary</w:t>
            </w:r>
            <w:r>
              <w:tab/>
            </w:r>
            <w:r>
              <w:fldChar w:fldCharType="begin" w:dirty="true"/>
              <w:instrText xml:space="preserve">PAGEREF _Toc1 \h</w:instrText>
              <w:fldChar w:fldCharType="separate"/>
              <w:fldChar w:fldCharType="end"/>
            </w:r>
          </w:hyperlink>
        </w:p>
        <w:p>
          <w:pPr>
            <w:pStyle w:val="TOC1"/>
            <w:tabs>
              <w:tab w:val="right" w:pos="9306" w:leader="dot"/>
            </w:tabs>
          </w:pPr>
          <w:hyperlink w:history="1" w:anchor="_Toc2">
            <w:r>
              <w:t xml:space="preserve">2. How the work was done</w:t>
            </w:r>
            <w:r>
              <w:tab/>
            </w:r>
            <w:r>
              <w:fldChar w:fldCharType="begin" w:dirty="true"/>
              <w:instrText xml:space="preserve">PAGEREF _Toc2 \h</w:instrText>
              <w:fldChar w:fldCharType="separate"/>
              <w:fldChar w:fldCharType="end"/>
            </w:r>
          </w:hyperlink>
        </w:p>
        <w:p>
          <w:pPr>
            <w:pStyle w:val="TOC1"/>
            <w:tabs>
              <w:tab w:val="right" w:pos="9306" w:leader="dot"/>
            </w:tabs>
          </w:pPr>
          <w:hyperlink w:history="1" w:anchor="_Toc3">
            <w:r>
              <w:t xml:space="preserve">3. Phase A: setup</w:t>
            </w:r>
            <w:r>
              <w:tab/>
            </w:r>
            <w:r>
              <w:fldChar w:fldCharType="begin" w:dirty="true"/>
              <w:instrText xml:space="preserve">PAGEREF _Toc3 \h</w:instrText>
              <w:fldChar w:fldCharType="separate"/>
              <w:fldChar w:fldCharType="end"/>
            </w:r>
          </w:hyperlink>
        </w:p>
        <w:p>
          <w:pPr>
            <w:pStyle w:val="TOC1"/>
            <w:tabs>
              <w:tab w:val="right" w:pos="9306" w:leader="dot"/>
            </w:tabs>
          </w:pPr>
          <w:hyperlink w:history="1" w:anchor="_Toc4">
            <w:r>
              <w:t xml:space="preserve">4. Phase B: pilot (US, Germany/euro area, India, Japan)</w:t>
            </w:r>
            <w:r>
              <w:tab/>
            </w:r>
            <w:r>
              <w:fldChar w:fldCharType="begin" w:dirty="true"/>
              <w:instrText xml:space="preserve">PAGEREF _Toc4 \h</w:instrText>
              <w:fldChar w:fldCharType="separate"/>
              <w:fldChar w:fldCharType="end"/>
            </w:r>
          </w:hyperlink>
        </w:p>
        <w:p>
          <w:pPr>
            <w:pStyle w:val="TOC2"/>
            <w:tabs>
              <w:tab w:val="right" w:pos="9306" w:leader="dot"/>
            </w:tabs>
            <w:ind w:left="220"/>
          </w:pPr>
          <w:hyperlink w:history="1" w:anchor="_Toc5">
            <w:r>
              <w:t xml:space="preserve">B1: decisions and index data</w:t>
            </w:r>
            <w:r>
              <w:tab/>
            </w:r>
            <w:r>
              <w:fldChar w:fldCharType="begin" w:dirty="true"/>
              <w:instrText xml:space="preserve">PAGEREF _Toc5 \h</w:instrText>
              <w:fldChar w:fldCharType="separate"/>
              <w:fldChar w:fldCharType="end"/>
            </w:r>
          </w:hyperlink>
        </w:p>
        <w:p>
          <w:pPr>
            <w:pStyle w:val="TOC2"/>
            <w:tabs>
              <w:tab w:val="right" w:pos="9306" w:leader="dot"/>
            </w:tabs>
            <w:ind w:left="220"/>
          </w:pPr>
          <w:hyperlink w:history="1" w:anchor="_Toc6">
            <w:r>
              <w:t xml:space="preserve">B2: timing rule and event windows</w:t>
            </w:r>
            <w:r>
              <w:tab/>
            </w:r>
            <w:r>
              <w:fldChar w:fldCharType="begin" w:dirty="true"/>
              <w:instrText xml:space="preserve">PAGEREF _Toc6 \h</w:instrText>
              <w:fldChar w:fldCharType="separate"/>
              <w:fldChar w:fldCharType="end"/>
            </w:r>
          </w:hyperlink>
        </w:p>
        <w:p>
          <w:pPr>
            <w:pStyle w:val="TOC1"/>
            <w:tabs>
              <w:tab w:val="right" w:pos="9306" w:leader="dot"/>
            </w:tabs>
          </w:pPr>
          <w:hyperlink w:history="1" w:anchor="_Toc7">
            <w:r>
              <w:t xml:space="preserve">5. Phase C: full dataset (15 countries)</w:t>
            </w:r>
            <w:r>
              <w:tab/>
            </w:r>
            <w:r>
              <w:fldChar w:fldCharType="begin" w:dirty="true"/>
              <w:instrText xml:space="preserve">PAGEREF _Toc7 \h</w:instrText>
              <w:fldChar w:fldCharType="separate"/>
              <w:fldChar w:fldCharType="end"/>
            </w:r>
          </w:hyperlink>
        </w:p>
        <w:p>
          <w:pPr>
            <w:pStyle w:val="TOC1"/>
            <w:tabs>
              <w:tab w:val="right" w:pos="9306" w:leader="dot"/>
            </w:tabs>
          </w:pPr>
          <w:hyperlink w:history="1" w:anchor="_Toc8">
            <w:r>
              <w:t xml:space="preserve">6. Phase D: policy shocks</w:t>
            </w:r>
            <w:r>
              <w:tab/>
            </w:r>
            <w:r>
              <w:fldChar w:fldCharType="begin" w:dirty="true"/>
              <w:instrText xml:space="preserve">PAGEREF _Toc8 \h</w:instrText>
              <w:fldChar w:fldCharType="separate"/>
              <w:fldChar w:fldCharType="end"/>
            </w:r>
          </w:hyperlink>
        </w:p>
        <w:p>
          <w:pPr>
            <w:pStyle w:val="TOC1"/>
            <w:tabs>
              <w:tab w:val="right" w:pos="9306" w:leader="dot"/>
            </w:tabs>
          </w:pPr>
          <w:hyperlink w:history="1" w:anchor="_Toc9">
            <w:r>
              <w:t xml:space="preserve">7. Phase E: statement texts</w:t>
            </w:r>
            <w:r>
              <w:tab/>
            </w:r>
            <w:r>
              <w:fldChar w:fldCharType="begin" w:dirty="true"/>
              <w:instrText xml:space="preserve">PAGEREF _Toc9 \h</w:instrText>
              <w:fldChar w:fldCharType="separate"/>
              <w:fldChar w:fldCharType="end"/>
            </w:r>
          </w:hyperlink>
        </w:p>
        <w:p>
          <w:pPr>
            <w:pStyle w:val="TOC1"/>
            <w:tabs>
              <w:tab w:val="right" w:pos="9306" w:leader="dot"/>
            </w:tabs>
          </w:pPr>
          <w:hyperlink w:history="1" w:anchor="_Toc10">
            <w:r>
              <w:t xml:space="preserve">8. Data sources</w:t>
            </w:r>
            <w:r>
              <w:tab/>
            </w:r>
            <w:r>
              <w:fldChar w:fldCharType="begin" w:dirty="true"/>
              <w:instrText xml:space="preserve">PAGEREF _Toc10 \h</w:instrText>
              <w:fldChar w:fldCharType="separate"/>
              <w:fldChar w:fldCharType="end"/>
            </w:r>
          </w:hyperlink>
        </w:p>
        <w:p>
          <w:pPr>
            <w:pStyle w:val="TOC1"/>
            <w:tabs>
              <w:tab w:val="right" w:pos="9306" w:leader="dot"/>
            </w:tabs>
          </w:pPr>
          <w:hyperlink w:history="1" w:anchor="_Toc11">
            <w:r>
              <w:t xml:space="preserve">9. Known limitations</w:t>
            </w:r>
            <w:r>
              <w:tab/>
            </w:r>
            <w:r>
              <w:fldChar w:fldCharType="begin" w:dirty="true"/>
              <w:instrText xml:space="preserve">PAGEREF _Toc11 \h</w:instrText>
              <w:fldChar w:fldCharType="separate"/>
              <w:fldChar w:fldCharType="end"/>
            </w:r>
          </w:hyperlink>
        </w:p>
        <w:p>
          <w:pPr>
            <w:pStyle w:val="TOC1"/>
            <w:tabs>
              <w:tab w:val="right" w:pos="9306" w:leader="dot"/>
            </w:tabs>
          </w:pPr>
          <w:hyperlink w:history="1" w:anchor="_Toc12">
            <w:r>
              <w:t xml:space="preserve">10. Next steps for the team</w:t>
            </w:r>
            <w:r>
              <w:tab/>
            </w:r>
            <w:r>
              <w:fldChar w:fldCharType="begin" w:dirty="true"/>
              <w:instrText xml:space="preserve">PAGEREF _Toc12 \h</w:instrText>
              <w:fldChar w:fldCharType="separate"/>
              <w:fldChar w:fldCharType="end"/>
            </w:r>
          </w:hyperlink>
        </w:p>
        <w:p>
          <w:pPr>
            <w:pStyle w:val="TOC1"/>
            <w:tabs>
              <w:tab w:val="right" w:pos="9306" w:leader="dot"/>
            </w:tabs>
          </w:pPr>
          <w:hyperlink w:history="1" w:anchor="_Toc13">
            <w:r>
              <w:t xml:space="preserve">11. Where to find things</w:t>
            </w:r>
            <w:r>
              <w:tab/>
            </w:r>
            <w:r>
              <w:fldChar w:fldCharType="begin" w:dirty="true"/>
              <w:instrText xml:space="preserve">PAGEREF _Toc13 \h</w:instrText>
              <w:fldChar w:fldCharType="separate"/>
              <w:fldChar w:fldCharType="end"/>
            </w:r>
          </w:hyperlink>
        </w:p>
        <w:p>
          <w:r>
            <w:fldChar w:fldCharType="end"/>
          </w:r>
        </w:p>
      </w:sdtContent>
    </w:sdt>
    <w:p>
      <w:pPr>
        <w:pStyle w:val="Heading1"/>
        <w:spacing w:after="160" w:before="360"/>
      </w:pPr>
      <w:bookmarkStart w:name="_Toc1" w:id="1"/>
      <w:r>
        <w:rPr>
          <w:rFonts w:ascii="Arial" w:cs="Arial" w:eastAsia="Arial" w:hAnsi="Arial"/>
          <w:b/>
          <w:bCs/>
          <w:color w:val="1F3864"/>
          <w:sz w:val="32"/>
          <w:szCs w:val="32"/>
        </w:rPr>
        <w:t xml:space="preserve">1. Summary</w:t>
      </w:r>
      <w:bookmarkEnd w:id="1"/>
    </w:p>
    <w:p>
      <w:pPr>
        <w:spacing w:after="120"/>
      </w:pPr>
      <w:r>
        <w:rPr>
          <w:rFonts w:ascii="Arial" w:cs="Arial" w:eastAsia="Arial" w:hAnsi="Arial"/>
          <w:sz w:val="22"/>
          <w:szCs w:val="22"/>
        </w:rPr>
        <w:t xml:space="preserve">The project built a research dataset that links central-bank decisions in the 15 largest economies to the reaction of their stock markets. Every number in it comes from an official or free public source that was downloaded, saved and logged; nothing was typed in from memory. Gaps and substitutions are written down in docs/issues.md rather than filled silently.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0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Final file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Rows</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What one row is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panel_daily.parquet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222,646</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 trading day for one of 38 equity indices in 16 markets, with returns and controls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policy_decisions.csv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1,908</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 decision by one of 12 central banks, 2000-2026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events.parquet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62,461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 decision x a reacting index: trading days, event-window returns, shock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shocks.parquet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1,908</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The policy surprise for a decision, graded A, B or C</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statements.parquet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920</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An English policy statement (Fed, ECB, BoJ, RBI)</w:t>
            </w:r>
          </w:p>
        </w:tc>
      </w:tr>
    </w:tbl>
    <w:p>
      <w:pPr>
        <w:spacing w:after="120"/>
      </w:pPr>
    </w:p>
    <w:p>
      <w:pPr>
        <w:spacing w:after="120"/>
      </w:pPr>
      <w:r>
        <w:rPr>
          <w:rFonts w:ascii="Arial" w:cs="Arial" w:eastAsia="Arial" w:hAnsi="Arial"/>
          <w:b/>
          <w:bCs/>
          <w:sz w:val="22"/>
          <w:szCs w:val="22"/>
        </w:rPr>
        <w:t xml:space="preserve">Tests: </w:t>
      </w:r>
      <w:r>
        <w:rPr>
          <w:rFonts w:ascii="Arial" w:cs="Arial" w:eastAsia="Arial" w:hAnsi="Arial"/>
          <w:sz w:val="22"/>
          <w:szCs w:val="22"/>
        </w:rPr>
        <w:t xml:space="preserve">87 automated tests pass. </w:t>
      </w:r>
      <w:r>
        <w:rPr>
          <w:rFonts w:ascii="Arial" w:cs="Arial" w:eastAsia="Arial" w:hAnsi="Arial"/>
          <w:b/>
          <w:bCs/>
          <w:sz w:val="22"/>
          <w:szCs w:val="22"/>
        </w:rPr>
        <w:t xml:space="preserve">Gate: </w:t>
      </w:r>
      <w:r>
        <w:rPr>
          <w:rFonts w:ascii="Arial" w:cs="Arial" w:eastAsia="Arial" w:hAnsi="Arial"/>
          <w:sz w:val="22"/>
          <w:szCs w:val="22"/>
        </w:rPr>
        <w:t xml:space="preserve">the Phase B timing hand-check (10 events x 4 markets, 160 checks) was signed off by Prachi.</w:t>
      </w:r>
    </w:p>
    <w:p>
      <w:pPr>
        <w:pStyle w:val="Heading1"/>
        <w:spacing w:after="160" w:before="360"/>
      </w:pPr>
      <w:bookmarkStart w:name="_Toc2" w:id="2"/>
      <w:r>
        <w:rPr>
          <w:rFonts w:ascii="Arial" w:cs="Arial" w:eastAsia="Arial" w:hAnsi="Arial"/>
          <w:b/>
          <w:bCs/>
          <w:color w:val="1F3864"/>
          <w:sz w:val="32"/>
          <w:szCs w:val="32"/>
        </w:rPr>
        <w:t xml:space="preserve">2. How the work was done</w:t>
      </w:r>
      <w:bookmarkEnd w:id="2"/>
    </w:p>
    <w:p>
      <w:pPr>
        <w:pStyle w:val="ListParagraph"/>
        <w:numPr>
          <w:ilvl w:val="0"/>
          <w:numId w:val="2"/>
        </w:numPr>
        <w:spacing w:after="60"/>
      </w:pPr>
      <w:r>
        <w:rPr>
          <w:rFonts w:ascii="Arial" w:cs="Arial" w:eastAsia="Arial" w:hAnsi="Arial"/>
          <w:b/>
          <w:bCs/>
          <w:sz w:val="22"/>
          <w:szCs w:val="22"/>
        </w:rPr>
        <w:t xml:space="preserve">Rules. </w:t>
      </w:r>
      <w:r>
        <w:rPr>
          <w:rFonts w:ascii="Arial" w:cs="Arial" w:eastAsia="Arial" w:hAnsi="Arial"/>
          <w:sz w:val="22"/>
          <w:szCs w:val="22"/>
        </w:rPr>
        <w:t xml:space="preserve">Official or free sources only; every download saved once (write-once) and logged with its URL, date, licence and checksum in data/raw/MANIFEST.csv; no look-ahead; no silent filling; every choice recorded in DECISIONS.md.</w:t>
      </w:r>
    </w:p>
    <w:p>
      <w:pPr>
        <w:pStyle w:val="ListParagraph"/>
        <w:numPr>
          <w:ilvl w:val="0"/>
          <w:numId w:val="2"/>
        </w:numPr>
        <w:spacing w:after="60"/>
      </w:pPr>
      <w:r>
        <w:rPr>
          <w:rFonts w:ascii="Arial" w:cs="Arial" w:eastAsia="Arial" w:hAnsi="Arial"/>
          <w:b/>
          <w:bCs/>
          <w:sz w:val="22"/>
          <w:szCs w:val="22"/>
        </w:rPr>
        <w:t xml:space="preserve">Tools. </w:t>
      </w:r>
      <w:r>
        <w:rPr>
          <w:rFonts w:ascii="Arial" w:cs="Arial" w:eastAsia="Arial" w:hAnsi="Arial"/>
          <w:sz w:val="22"/>
          <w:szCs w:val="22"/>
        </w:rPr>
        <w:t xml:space="preserve">Phase A and the first Phase B attempt ran in Antigravity (Claude, then Gemini). After its quota ran out, Phases B to E were completed in Claude Code on the same project folder, and each phase was committed and pushed to GitHub.</w:t>
      </w:r>
    </w:p>
    <w:p>
      <w:pPr>
        <w:pStyle w:val="ListParagraph"/>
        <w:numPr>
          <w:ilvl w:val="0"/>
          <w:numId w:val="2"/>
        </w:numPr>
        <w:spacing w:after="60"/>
      </w:pPr>
      <w:r>
        <w:rPr>
          <w:rFonts w:ascii="Arial" w:cs="Arial" w:eastAsia="Arial" w:hAnsi="Arial"/>
          <w:b/>
          <w:bCs/>
          <w:sz w:val="22"/>
          <w:szCs w:val="22"/>
        </w:rPr>
        <w:t xml:space="preserve">Reproducible. </w:t>
      </w:r>
      <w:r>
        <w:rPr>
          <w:rFonts w:ascii="Arial" w:cs="Arial" w:eastAsia="Arial" w:hAnsi="Arial"/>
          <w:sz w:val="22"/>
          <w:szCs w:val="22"/>
        </w:rPr>
        <w:t xml:space="preserve">One command (python tasks.py data) rebuilds everything from the saved raw files; raw data is not on GitHub because of licences.</w:t>
      </w:r>
    </w:p>
    <w:p>
      <w:pPr>
        <w:pStyle w:val="Heading1"/>
        <w:spacing w:after="160" w:before="360"/>
      </w:pPr>
      <w:bookmarkStart w:name="_Toc3" w:id="3"/>
      <w:r>
        <w:rPr>
          <w:rFonts w:ascii="Arial" w:cs="Arial" w:eastAsia="Arial" w:hAnsi="Arial"/>
          <w:b/>
          <w:bCs/>
          <w:color w:val="1F3864"/>
          <w:sz w:val="32"/>
          <w:szCs w:val="32"/>
        </w:rPr>
        <w:t xml:space="preserve">3. Phase A: setup</w:t>
      </w:r>
      <w:bookmarkEnd w:id="3"/>
    </w:p>
    <w:p>
      <w:pPr>
        <w:pStyle w:val="ListParagraph"/>
        <w:numPr>
          <w:ilvl w:val="0"/>
          <w:numId w:val="2"/>
        </w:numPr>
        <w:spacing w:after="60"/>
      </w:pPr>
      <w:r>
        <w:rPr>
          <w:rFonts w:ascii="Arial" w:cs="Arial" w:eastAsia="Arial" w:hAnsi="Arial"/>
          <w:sz w:val="22"/>
          <w:szCs w:val="22"/>
        </w:rPr>
        <w:t xml:space="preserve">Created the repository layout (data/raw, interim, final; src; tests; docs), a Python 3.12 environment with pinned packages, and a task runner (tasks.py) that works on Windows.</w:t>
      </w:r>
    </w:p>
    <w:p>
      <w:pPr>
        <w:pStyle w:val="ListParagraph"/>
        <w:numPr>
          <w:ilvl w:val="0"/>
          <w:numId w:val="2"/>
        </w:numPr>
        <w:spacing w:after="60"/>
      </w:pPr>
      <w:r>
        <w:rPr>
          <w:rFonts w:ascii="Arial" w:cs="Arial" w:eastAsia="Arial" w:hAnsi="Arial"/>
          <w:sz w:val="22"/>
          <w:szCs w:val="22"/>
        </w:rPr>
        <w:t xml:space="preserve">Wrote the project specification, the source registry, the data dictionary, the issues log and the decision log.</w:t>
      </w:r>
    </w:p>
    <w:p>
      <w:pPr>
        <w:pStyle w:val="ListParagraph"/>
        <w:numPr>
          <w:ilvl w:val="0"/>
          <w:numId w:val="2"/>
        </w:numPr>
        <w:spacing w:after="60"/>
      </w:pPr>
      <w:r>
        <w:rPr>
          <w:rFonts w:ascii="Arial" w:cs="Arial" w:eastAsia="Arial" w:hAnsi="Arial"/>
          <w:sz w:val="22"/>
          <w:szCs w:val="22"/>
        </w:rPr>
        <w:t xml:space="preserve">Added a download helper that refuses to overwrite raw files and records provenance for every file.</w:t>
      </w:r>
    </w:p>
    <w:p>
      <w:pPr>
        <w:pStyle w:val="ListParagraph"/>
        <w:numPr>
          <w:ilvl w:val="0"/>
          <w:numId w:val="2"/>
        </w:numPr>
        <w:spacing w:after="60"/>
      </w:pPr>
      <w:r>
        <w:rPr>
          <w:rFonts w:ascii="Arial" w:cs="Arial" w:eastAsia="Arial" w:hAnsi="Arial"/>
          <w:sz w:val="22"/>
          <w:szCs w:val="22"/>
        </w:rPr>
        <w:t xml:space="preserve">Fixed a Windows console crash in the task runner. Published the repository on GitHub with a private (noreply) author email.</w:t>
      </w:r>
    </w:p>
    <w:p>
      <w:pPr>
        <w:pStyle w:val="Heading1"/>
        <w:spacing w:after="160" w:before="360"/>
      </w:pPr>
      <w:bookmarkStart w:name="_Toc4" w:id="4"/>
      <w:r>
        <w:rPr>
          <w:rFonts w:ascii="Arial" w:cs="Arial" w:eastAsia="Arial" w:hAnsi="Arial"/>
          <w:b/>
          <w:bCs/>
          <w:color w:val="1F3864"/>
          <w:sz w:val="32"/>
          <w:szCs w:val="32"/>
        </w:rPr>
        <w:t xml:space="preserve">4. Phase B: pilot (US, Germany/euro area, India, Japan)</w:t>
      </w:r>
      <w:bookmarkEnd w:id="4"/>
    </w:p>
    <w:p>
      <w:pPr>
        <w:pStyle w:val="Heading2"/>
        <w:spacing w:after="120" w:before="240"/>
      </w:pPr>
      <w:bookmarkStart w:name="_Toc5" w:id="5"/>
      <w:r>
        <w:rPr>
          <w:rFonts w:ascii="Arial" w:cs="Arial" w:eastAsia="Arial" w:hAnsi="Arial"/>
          <w:b/>
          <w:bCs/>
          <w:color w:val="1F3864"/>
          <w:sz w:val="26"/>
          <w:szCs w:val="26"/>
        </w:rPr>
        <w:t xml:space="preserve">B1: decisions and index data</w:t>
      </w:r>
      <w:bookmarkEnd w:id="5"/>
    </w:p>
    <w:p>
      <w:pPr>
        <w:pStyle w:val="ListParagraph"/>
        <w:numPr>
          <w:ilvl w:val="0"/>
          <w:numId w:val="2"/>
        </w:numPr>
        <w:spacing w:after="60"/>
      </w:pPr>
      <w:r>
        <w:rPr>
          <w:rFonts w:ascii="Arial" w:cs="Arial" w:eastAsia="Arial" w:hAnsi="Arial"/>
          <w:b/>
          <w:bCs/>
          <w:sz w:val="22"/>
          <w:szCs w:val="22"/>
        </w:rPr>
        <w:t xml:space="preserve">Rebuilt from sources. </w:t>
      </w:r>
      <w:r>
        <w:rPr>
          <w:rFonts w:ascii="Arial" w:cs="Arial" w:eastAsia="Arial" w:hAnsi="Arial"/>
          <w:sz w:val="22"/>
          <w:szCs w:val="22"/>
        </w:rPr>
        <w:t xml:space="preserve">The first version, written by the Antigravity agent, had about 140 RBI decisions, recent ECB dates, emergency meetings and BoJ times typed in from memory, and it missed about 10 ECB hikes. It was rewritten so that every row comes from a saved official document.</w:t>
      </w:r>
    </w:p>
    <w:p>
      <w:pPr>
        <w:pStyle w:val="ListParagraph"/>
        <w:numPr>
          <w:ilvl w:val="0"/>
          <w:numId w:val="2"/>
        </w:numPr>
        <w:spacing w:after="60"/>
      </w:pPr>
      <w:r>
        <w:rPr>
          <w:rFonts w:ascii="Arial" w:cs="Arial" w:eastAsia="Arial" w:hAnsi="Arial"/>
          <w:b/>
          <w:bCs/>
          <w:sz w:val="22"/>
          <w:szCs w:val="22"/>
        </w:rPr>
        <w:t xml:space="preserve">Decisions. </w:t>
      </w:r>
      <w:r>
        <w:rPr>
          <w:rFonts w:ascii="Arial" w:cs="Arial" w:eastAsia="Arial" w:hAnsi="Arial"/>
          <w:sz w:val="22"/>
          <w:szCs w:val="22"/>
        </w:rPr>
        <w:t xml:space="preserve">1,022 decisions for the Fed, ECB, RBI and BoJ, including holds, from the Fed's statement pages, the ECB/EA-MPD meeting lists, the RBI policy archive and the BoJ statement and minutes lists. Rates from BIS and the ECB data portal.</w:t>
      </w:r>
    </w:p>
    <w:p>
      <w:pPr>
        <w:pStyle w:val="ListParagraph"/>
        <w:numPr>
          <w:ilvl w:val="0"/>
          <w:numId w:val="2"/>
        </w:numPr>
        <w:spacing w:after="60"/>
      </w:pPr>
      <w:r>
        <w:rPr>
          <w:rFonts w:ascii="Arial" w:cs="Arial" w:eastAsia="Arial" w:hAnsi="Arial"/>
          <w:b/>
          <w:bCs/>
          <w:sz w:val="22"/>
          <w:szCs w:val="22"/>
        </w:rPr>
        <w:t xml:space="preserve">Times. </w:t>
      </w:r>
      <w:r>
        <w:rPr>
          <w:rFonts w:ascii="Arial" w:cs="Arial" w:eastAsia="Arial" w:hAnsi="Arial"/>
          <w:sz w:val="22"/>
          <w:szCs w:val="22"/>
        </w:rPr>
        <w:t xml:space="preserve">Fed times from each statement page (later completed from the San Francisco Fed data), ECB times from the EA-MPD notes, BoJ meeting end times from the minutes. RBI publishes no times.</w:t>
      </w:r>
    </w:p>
    <w:p>
      <w:pPr>
        <w:pStyle w:val="ListParagraph"/>
        <w:numPr>
          <w:ilvl w:val="0"/>
          <w:numId w:val="2"/>
        </w:numPr>
        <w:spacing w:after="60"/>
      </w:pPr>
      <w:r>
        <w:rPr>
          <w:rFonts w:ascii="Arial" w:cs="Arial" w:eastAsia="Arial" w:hAnsi="Arial"/>
          <w:b/>
          <w:bCs/>
          <w:sz w:val="22"/>
          <w:szCs w:val="22"/>
        </w:rPr>
        <w:t xml:space="preserve">Indices. </w:t>
      </w:r>
      <w:r>
        <w:rPr>
          <w:rFonts w:ascii="Arial" w:cs="Arial" w:eastAsia="Arial" w:hAnsi="Arial"/>
          <w:sz w:val="22"/>
          <w:szCs w:val="22"/>
        </w:rPr>
        <w:t xml:space="preserve">13 series; India moved to the official NSE source (back to 2000); ETF ex-dividend and stale-price flags; Yahoo holiday placeholder rows removed.</w:t>
      </w:r>
    </w:p>
    <w:p>
      <w:pPr>
        <w:pStyle w:val="Heading2"/>
        <w:spacing w:after="120" w:before="240"/>
      </w:pPr>
      <w:bookmarkStart w:name="_Toc6" w:id="6"/>
      <w:r>
        <w:rPr>
          <w:rFonts w:ascii="Arial" w:cs="Arial" w:eastAsia="Arial" w:hAnsi="Arial"/>
          <w:b/>
          <w:bCs/>
          <w:color w:val="1F3864"/>
          <w:sz w:val="26"/>
          <w:szCs w:val="26"/>
        </w:rPr>
        <w:t xml:space="preserve">B2: timing rule and event windows</w:t>
      </w:r>
      <w:bookmarkEnd w:id="6"/>
    </w:p>
    <w:p>
      <w:pPr>
        <w:pStyle w:val="ListParagraph"/>
        <w:numPr>
          <w:ilvl w:val="0"/>
          <w:numId w:val="2"/>
        </w:numPr>
        <w:spacing w:after="60"/>
      </w:pPr>
      <w:r>
        <w:rPr>
          <w:rFonts w:ascii="Arial" w:cs="Arial" w:eastAsia="Arial" w:hAnsi="Arial"/>
          <w:b/>
          <w:bCs/>
          <w:sz w:val="22"/>
          <w:szCs w:val="22"/>
        </w:rPr>
        <w:t xml:space="preserve">Rule (DECISION-013). </w:t>
      </w:r>
      <w:r>
        <w:rPr>
          <w:rFonts w:ascii="Arial" w:cs="Arial" w:eastAsia="Arial" w:hAnsi="Arial"/>
          <w:sz w:val="22"/>
          <w:szCs w:val="22"/>
        </w:rPr>
        <w:t xml:space="preserve">Each announcement gets a time window (exact time, BoJ meeting end + 1 hour, or the whole local day if unknown). Returns are measured from the last close before the window and counted from the first session that closes after it, so there is no look-ahead and no missed reaction. A timing_ambiguous flag marks cases where the reacting day is uncertain.</w:t>
      </w:r>
    </w:p>
    <w:p>
      <w:pPr>
        <w:pStyle w:val="ListParagraph"/>
        <w:numPr>
          <w:ilvl w:val="0"/>
          <w:numId w:val="2"/>
        </w:numPr>
        <w:spacing w:after="60"/>
      </w:pPr>
      <w:r>
        <w:rPr>
          <w:rFonts w:ascii="Arial" w:cs="Arial" w:eastAsia="Arial" w:hAnsi="Arial"/>
          <w:b/>
          <w:bCs/>
          <w:sz w:val="22"/>
          <w:szCs w:val="22"/>
        </w:rPr>
        <w:t xml:space="preserve">Event windows. </w:t>
      </w:r>
      <w:r>
        <w:rPr>
          <w:rFonts w:ascii="Arial" w:cs="Arial" w:eastAsia="Arial" w:hAnsi="Arial"/>
          <w:sz w:val="22"/>
          <w:szCs w:val="22"/>
        </w:rPr>
        <w:t xml:space="preserve">1, 3, 5, 20 and 60-day cumulative log returns plus a 5-day pre-event window, for every decision x every index.</w:t>
      </w:r>
    </w:p>
    <w:p>
      <w:pPr>
        <w:pStyle w:val="ListParagraph"/>
        <w:numPr>
          <w:ilvl w:val="0"/>
          <w:numId w:val="2"/>
        </w:numPr>
        <w:spacing w:after="60"/>
      </w:pPr>
      <w:r>
        <w:rPr>
          <w:rFonts w:ascii="Arial" w:cs="Arial" w:eastAsia="Arial" w:hAnsi="Arial"/>
          <w:b/>
          <w:bCs/>
          <w:sz w:val="22"/>
          <w:szCs w:val="22"/>
        </w:rPr>
        <w:t xml:space="preserve">Gate. </w:t>
      </w:r>
      <w:r>
        <w:rPr>
          <w:rFonts w:ascii="Arial" w:cs="Arial" w:eastAsia="Arial" w:hAnsi="Arial"/>
          <w:sz w:val="22"/>
          <w:szCs w:val="22"/>
        </w:rPr>
        <w:t xml:space="preserve">A 10-event hand-check workbook (weekend cut, emergency cuts, BoJ, RBI, holidays) was checked against official sources: 160 of 160 checks passed.</w:t>
      </w:r>
    </w:p>
    <w:p>
      <w:pPr>
        <w:pStyle w:val="Heading1"/>
        <w:spacing w:after="160" w:before="360"/>
      </w:pPr>
      <w:bookmarkStart w:name="_Toc7" w:id="7"/>
      <w:r>
        <w:rPr>
          <w:rFonts w:ascii="Arial" w:cs="Arial" w:eastAsia="Arial" w:hAnsi="Arial"/>
          <w:b/>
          <w:bCs/>
          <w:color w:val="1F3864"/>
          <w:sz w:val="32"/>
          <w:szCs w:val="32"/>
        </w:rPr>
        <w:t xml:space="preserve">5. Phase C: full dataset (15 countries)</w:t>
      </w:r>
      <w:bookmarkEnd w:id="7"/>
    </w:p>
    <w:p>
      <w:pPr>
        <w:pStyle w:val="ListParagraph"/>
        <w:numPr>
          <w:ilvl w:val="0"/>
          <w:numId w:val="2"/>
        </w:numPr>
        <w:spacing w:after="60"/>
      </w:pPr>
      <w:r>
        <w:rPr>
          <w:rFonts w:ascii="Arial" w:cs="Arial" w:eastAsia="Arial" w:hAnsi="Arial"/>
          <w:b/>
          <w:bCs/>
          <w:sz w:val="22"/>
          <w:szCs w:val="22"/>
        </w:rPr>
        <w:t xml:space="preserve">Indices. </w:t>
      </w:r>
      <w:r>
        <w:rPr>
          <w:rFonts w:ascii="Arial" w:cs="Arial" w:eastAsia="Arial" w:hAnsi="Arial"/>
          <w:sz w:val="22"/>
          <w:szCs w:val="22"/>
        </w:rPr>
        <w:t xml:space="preserve">38 series from Yahoo plus official sources: CSIndex (China), Moscow Exchange (Russia), B3 (Brazil), NSE (India). France, Italy and Spain share euro-area bank and small-cap ETFs. UK banks and Mexico banks/small-cap were dropped (no free source).</w:t>
      </w:r>
    </w:p>
    <w:p>
      <w:pPr>
        <w:pStyle w:val="ListParagraph"/>
        <w:numPr>
          <w:ilvl w:val="0"/>
          <w:numId w:val="2"/>
        </w:numPr>
        <w:spacing w:after="60"/>
      </w:pPr>
      <w:r>
        <w:rPr>
          <w:rFonts w:ascii="Arial" w:cs="Arial" w:eastAsia="Arial" w:hAnsi="Arial"/>
          <w:b/>
          <w:bCs/>
          <w:sz w:val="22"/>
          <w:szCs w:val="22"/>
        </w:rPr>
        <w:t xml:space="preserve">Controls. </w:t>
      </w:r>
      <w:r>
        <w:rPr>
          <w:rFonts w:ascii="Arial" w:cs="Arial" w:eastAsia="Arial" w:hAnsi="Arial"/>
          <w:sz w:val="22"/>
          <w:szCs w:val="22"/>
        </w:rPr>
        <w:t xml:space="preserve">Exchange rates, policy rates and CPI (BIS), industrial production (OECD), 1-year yields (US Treasury, Bundesbank, ECB, MoF Japan, Bank of England, Bank of Canada, Bank of Russia, Brazil's central bank) and VIX. Monthly data are used only from month m+2; values are never carried forward once stale.</w:t>
      </w:r>
    </w:p>
    <w:p>
      <w:pPr>
        <w:pStyle w:val="ListParagraph"/>
        <w:numPr>
          <w:ilvl w:val="0"/>
          <w:numId w:val="2"/>
        </w:numPr>
        <w:spacing w:after="60"/>
      </w:pPr>
      <w:r>
        <w:rPr>
          <w:rFonts w:ascii="Arial" w:cs="Arial" w:eastAsia="Arial" w:hAnsi="Arial"/>
          <w:b/>
          <w:bCs/>
          <w:sz w:val="22"/>
          <w:szCs w:val="22"/>
        </w:rPr>
        <w:t xml:space="preserve">Decisions for 8 more central banks. </w:t>
      </w:r>
      <w:r>
        <w:rPr>
          <w:rFonts w:ascii="Arial" w:cs="Arial" w:eastAsia="Arial" w:hAnsi="Arial"/>
          <w:sz w:val="22"/>
          <w:szCs w:val="22"/>
        </w:rPr>
        <w:t xml:space="preserve">BoE, PBoC, CBR, BoC, BCB, Banxico, RBA and BoK: rate changes from BIS; holds where an official meeting list was readable (Brazil, Mexico).</w:t>
      </w:r>
    </w:p>
    <w:p>
      <w:pPr>
        <w:pStyle w:val="ListParagraph"/>
        <w:numPr>
          <w:ilvl w:val="0"/>
          <w:numId w:val="2"/>
        </w:numPr>
        <w:spacing w:after="60"/>
      </w:pPr>
      <w:r>
        <w:rPr>
          <w:rFonts w:ascii="Arial" w:cs="Arial" w:eastAsia="Arial" w:hAnsi="Arial"/>
          <w:b/>
          <w:bCs/>
          <w:sz w:val="22"/>
          <w:szCs w:val="22"/>
        </w:rPr>
        <w:t xml:space="preserve">Outputs. </w:t>
      </w:r>
      <w:r>
        <w:rPr>
          <w:rFonts w:ascii="Arial" w:cs="Arial" w:eastAsia="Arial" w:hAnsi="Arial"/>
          <w:sz w:val="22"/>
          <w:szCs w:val="22"/>
        </w:rPr>
        <w:t xml:space="preserve">panel_daily.parquet (222,646 rows x 24 columns), events.parquet (62,461 rows) and a data quality report.</w:t>
      </w:r>
    </w:p>
    <w:p>
      <w:pPr>
        <w:pStyle w:val="ListParagraph"/>
        <w:numPr>
          <w:ilvl w:val="0"/>
          <w:numId w:val="2"/>
        </w:numPr>
        <w:spacing w:after="60"/>
      </w:pPr>
      <w:r>
        <w:rPr>
          <w:rFonts w:ascii="Arial" w:cs="Arial" w:eastAsia="Arial" w:hAnsi="Arial"/>
          <w:b/>
          <w:bCs/>
          <w:sz w:val="22"/>
          <w:szCs w:val="22"/>
        </w:rPr>
        <w:t xml:space="preserve">Fixed before commit. </w:t>
      </w:r>
      <w:r>
        <w:rPr>
          <w:rFonts w:ascii="Arial" w:cs="Arial" w:eastAsia="Arial" w:hAnsi="Arial"/>
          <w:sz w:val="22"/>
          <w:szCs w:val="22"/>
        </w:rPr>
        <w:t xml:space="preserve">A merge that carried Brazil's 2019 yield forward to 2026; Mexico's pre-2008 market rate being read as decisions; tiny data noise in the Australian rate.</w:t>
      </w:r>
    </w:p>
    <w:p>
      <w:pPr>
        <w:pStyle w:val="Heading1"/>
        <w:spacing w:after="160" w:before="360"/>
      </w:pPr>
      <w:bookmarkStart w:name="_Toc8" w:id="8"/>
      <w:r>
        <w:rPr>
          <w:rFonts w:ascii="Arial" w:cs="Arial" w:eastAsia="Arial" w:hAnsi="Arial"/>
          <w:b/>
          <w:bCs/>
          <w:color w:val="1F3864"/>
          <w:sz w:val="32"/>
          <w:szCs w:val="32"/>
        </w:rPr>
        <w:t xml:space="preserve">6. Phase D: policy shocks</w:t>
      </w:r>
      <w:bookmarkEnd w:id="8"/>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1300"/>
        <w:gridCol w:w="31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Grade</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Decisions</w:t>
            </w:r>
          </w:p>
        </w:tc>
        <w:tc>
          <w:tcPr>
            <w:tcW w:type="dxa" w:w="3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Covers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High-frequency surprise: San Francisco Fed (Fed), EA-MPD (ECB)</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487</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Fed and ECB to late 2023</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B</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Change in the 1-year yield over the event window</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781</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BoJ, BoE, BoC, CBR, Brazil to 2019, recent Fed/ECB</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No usable shock (descriptive only)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640</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RBI, PBoC, RBA, BoK, Banxico, Brazil after 2019</w:t>
            </w:r>
          </w:p>
        </w:tc>
      </w:tr>
    </w:tbl>
    <w:p>
      <w:pPr>
        <w:spacing w:after="120"/>
      </w:pPr>
    </w:p>
    <w:p>
      <w:pPr>
        <w:pStyle w:val="ListParagraph"/>
        <w:numPr>
          <w:ilvl w:val="0"/>
          <w:numId w:val="2"/>
        </w:numPr>
        <w:spacing w:after="60"/>
      </w:pPr>
      <w:r>
        <w:rPr>
          <w:rFonts w:ascii="Arial" w:cs="Arial" w:eastAsia="Arial" w:hAnsi="Arial"/>
          <w:sz w:val="22"/>
          <w:szCs w:val="22"/>
        </w:rPr>
        <w:t xml:space="preserve">Shocks are scaled by the training-period (to 2019) standard deviation of their source, so the 2022+ blind test does not leak into the scaling.</w:t>
      </w:r>
    </w:p>
    <w:p>
      <w:pPr>
        <w:pStyle w:val="ListParagraph"/>
        <w:numPr>
          <w:ilvl w:val="0"/>
          <w:numId w:val="2"/>
        </w:numPr>
        <w:spacing w:after="60"/>
      </w:pPr>
      <w:r>
        <w:rPr>
          <w:rFonts w:ascii="Arial" w:cs="Arial" w:eastAsia="Arial" w:hAnsi="Arial"/>
          <w:sz w:val="22"/>
          <w:szCs w:val="22"/>
        </w:rPr>
        <w:t xml:space="preserve">Validation: the yield proxy agrees with the official surprises (correlation 0.55 Fed, 0.61 ECB); March 2020 cuts are strongly negative and 2022 hikes strongly positive; the largest shocks are real episodes (9/11, Russia Dec 2014, BoJ Jul 2024).</w:t>
      </w:r>
    </w:p>
    <w:p>
      <w:pPr>
        <w:pStyle w:val="ListParagraph"/>
        <w:numPr>
          <w:ilvl w:val="0"/>
          <w:numId w:val="2"/>
        </w:numPr>
        <w:spacing w:after="60"/>
      </w:pPr>
      <w:r>
        <w:rPr>
          <w:rFonts w:ascii="Arial" w:cs="Arial" w:eastAsia="Arial" w:hAnsi="Arial"/>
          <w:sz w:val="22"/>
          <w:szCs w:val="22"/>
        </w:rPr>
        <w:t xml:space="preserve">The San Francisco Fed file also gave exact release times: 226 of 227 Fed decisions now have an exact time.</w:t>
      </w:r>
    </w:p>
    <w:p>
      <w:pPr>
        <w:pStyle w:val="Heading1"/>
        <w:spacing w:after="160" w:before="360"/>
      </w:pPr>
      <w:bookmarkStart w:name="_Toc9" w:id="9"/>
      <w:r>
        <w:rPr>
          <w:rFonts w:ascii="Arial" w:cs="Arial" w:eastAsia="Arial" w:hAnsi="Arial"/>
          <w:b/>
          <w:bCs/>
          <w:color w:val="1F3864"/>
          <w:sz w:val="32"/>
          <w:szCs w:val="32"/>
        </w:rPr>
        <w:t xml:space="preserve">7. Phase E: statement texts</w:t>
      </w:r>
      <w:bookmarkEnd w:id="9"/>
    </w:p>
    <w:p>
      <w:pPr>
        <w:pStyle w:val="ListParagraph"/>
        <w:numPr>
          <w:ilvl w:val="0"/>
          <w:numId w:val="2"/>
        </w:numPr>
        <w:spacing w:after="60"/>
      </w:pPr>
      <w:r>
        <w:rPr>
          <w:rFonts w:ascii="Arial" w:cs="Arial" w:eastAsia="Arial" w:hAnsi="Arial"/>
          <w:sz w:val="22"/>
          <w:szCs w:val="22"/>
        </w:rPr>
        <w:t xml:space="preserve">920 English policy statements aligned to their decisions: Fed 227/227, BoJ 333/333, ECB 270/299 (with Q&amp;A), RBI 90.</w:t>
      </w:r>
    </w:p>
    <w:p>
      <w:pPr>
        <w:pStyle w:val="ListParagraph"/>
        <w:numPr>
          <w:ilvl w:val="0"/>
          <w:numId w:val="2"/>
        </w:numPr>
        <w:spacing w:after="60"/>
      </w:pPr>
      <w:r>
        <w:rPr>
          <w:rFonts w:ascii="Arial" w:cs="Arial" w:eastAsia="Arial" w:hAnsi="Arial"/>
          <w:sz w:val="22"/>
          <w:szCs w:val="22"/>
        </w:rPr>
        <w:t xml:space="preserve">Texts are taken from the saved official pages and PDFs, with website banners and cookie notices removed; for the BoJ the main statement is used, not background papers.</w:t>
      </w:r>
    </w:p>
    <w:p>
      <w:pPr>
        <w:pStyle w:val="ListParagraph"/>
        <w:numPr>
          <w:ilvl w:val="0"/>
          <w:numId w:val="2"/>
        </w:numPr>
        <w:spacing w:after="60"/>
      </w:pPr>
      <w:r>
        <w:rPr>
          <w:rFonts w:ascii="Arial" w:cs="Arial" w:eastAsia="Arial" w:hAnsi="Arial"/>
          <w:sz w:val="22"/>
          <w:szCs w:val="22"/>
        </w:rPr>
        <w:t xml:space="preserve">A stratified sample of 181 statements is ready for hand labelling, with the five label columns left empty for the Text lead. The copy with texts stays local for licensing reasons.</w:t>
      </w:r>
    </w:p>
    <w:p>
      <w:pPr>
        <w:pStyle w:val="Heading1"/>
        <w:spacing w:after="160" w:before="360"/>
      </w:pPr>
      <w:bookmarkStart w:name="_Toc10" w:id="10"/>
      <w:r>
        <w:rPr>
          <w:rFonts w:ascii="Arial" w:cs="Arial" w:eastAsia="Arial" w:hAnsi="Arial"/>
          <w:b/>
          <w:bCs/>
          <w:color w:val="1F3864"/>
          <w:sz w:val="32"/>
          <w:szCs w:val="32"/>
        </w:rPr>
        <w:t xml:space="preserve">8. Data sources</w:t>
      </w:r>
      <w:bookmarkEnd w:id="10"/>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68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6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Sources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Equity indices</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Yahoo Finance; NSE Indices (India); China Securities Index; Moscow Exchange ISS; B3 (Brazil)</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Policy decisions</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Federal Reserve; ECB and EA-MPD; RBI archive; BoJ statements and minutes; BCB Copom; Banxico; BIS policy rates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Shocks</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San Francisco Fed (Bauer-Swanson 2023 update); EA-MPD (Altavilla et al. 2019); national 1-year yields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Controls</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BIS (FX, policy rates, CPI); OECD (industrial production); US Treasury; Bundesbank; ECB; MoF Japan; Bank of England; Bank of Canada; Bank of Russia; BCB; VIX</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Statements</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Federal Reserve, ECB, Bank of Japan and Reserve Bank of India websites</w:t>
            </w:r>
          </w:p>
        </w:tc>
      </w:tr>
    </w:tbl>
    <w:p>
      <w:pPr>
        <w:pStyle w:val="Heading1"/>
        <w:spacing w:after="160" w:before="360"/>
      </w:pPr>
      <w:bookmarkStart w:name="_Toc11" w:id="11"/>
      <w:r>
        <w:rPr>
          <w:rFonts w:ascii="Arial" w:cs="Arial" w:eastAsia="Arial" w:hAnsi="Arial"/>
          <w:b/>
          <w:bCs/>
          <w:color w:val="1F3864"/>
          <w:sz w:val="32"/>
          <w:szCs w:val="32"/>
        </w:rPr>
        <w:t xml:space="preserve">9. Known limitations</w:t>
      </w:r>
      <w:bookmarkEnd w:id="11"/>
    </w:p>
    <w:p>
      <w:pPr>
        <w:pStyle w:val="ListParagraph"/>
        <w:numPr>
          <w:ilvl w:val="0"/>
          <w:numId w:val="2"/>
        </w:numPr>
        <w:spacing w:after="60"/>
      </w:pPr>
      <w:r>
        <w:rPr>
          <w:rFonts w:ascii="Arial" w:cs="Arial" w:eastAsia="Arial" w:hAnsi="Arial"/>
          <w:sz w:val="22"/>
          <w:szCs w:val="22"/>
        </w:rPr>
        <w:t xml:space="preserve">Holds are missing for BoE, BoC, RBA, BoK and CBR (no machine-readable meeting list; the RBA blocks automated downloads). PBoC has no scheduled meetings.</w:t>
      </w:r>
    </w:p>
    <w:p>
      <w:pPr>
        <w:pStyle w:val="ListParagraph"/>
        <w:numPr>
          <w:ilvl w:val="0"/>
          <w:numId w:val="2"/>
        </w:numPr>
        <w:spacing w:after="60"/>
      </w:pPr>
      <w:r>
        <w:rPr>
          <w:rFonts w:ascii="Arial" w:cs="Arial" w:eastAsia="Arial" w:hAnsi="Arial"/>
          <w:sz w:val="22"/>
          <w:szCs w:val="22"/>
        </w:rPr>
        <w:t xml:space="preserve">No free daily 1-year yield for China, India, Mexico, Australia or Korea; Brazil's ends in 2019, so their shocks are grade C.</w:t>
      </w:r>
    </w:p>
    <w:p>
      <w:pPr>
        <w:pStyle w:val="ListParagraph"/>
        <w:numPr>
          <w:ilvl w:val="0"/>
          <w:numId w:val="2"/>
        </w:numPr>
        <w:spacing w:after="60"/>
      </w:pPr>
      <w:r>
        <w:rPr>
          <w:rFonts w:ascii="Arial" w:cs="Arial" w:eastAsia="Arial" w:hAnsi="Arial"/>
          <w:sz w:val="22"/>
          <w:szCs w:val="22"/>
        </w:rPr>
        <w:t xml:space="preserve">No valuation (P/E) data; several bank and small-cap series start late (2004-2013); three are ETFs rather than indices.</w:t>
      </w:r>
    </w:p>
    <w:p>
      <w:pPr>
        <w:pStyle w:val="ListParagraph"/>
        <w:numPr>
          <w:ilvl w:val="0"/>
          <w:numId w:val="2"/>
        </w:numPr>
        <w:spacing w:after="60"/>
      </w:pPr>
      <w:r>
        <w:rPr>
          <w:rFonts w:ascii="Arial" w:cs="Arial" w:eastAsia="Arial" w:hAnsi="Arial"/>
          <w:sz w:val="22"/>
          <w:szCs w:val="22"/>
        </w:rPr>
        <w:t xml:space="preserve">RBI release times are unknown, so most RBI events are flagged timing_ambiguous; BoJ shocks look large in SD units because Japanese yields barely moved for 20 years.</w:t>
      </w:r>
    </w:p>
    <w:p>
      <w:pPr>
        <w:pStyle w:val="ListParagraph"/>
        <w:numPr>
          <w:ilvl w:val="0"/>
          <w:numId w:val="2"/>
        </w:numPr>
        <w:spacing w:after="60"/>
      </w:pPr>
      <w:r>
        <w:rPr>
          <w:rFonts w:ascii="Arial" w:cs="Arial" w:eastAsia="Arial" w:hAnsi="Arial"/>
          <w:sz w:val="22"/>
          <w:szCs w:val="22"/>
        </w:rPr>
        <w:t xml:space="preserve">Statements cover four central banks only.</w:t>
      </w:r>
    </w:p>
    <w:p>
      <w:pPr>
        <w:pStyle w:val="Heading1"/>
        <w:spacing w:after="160" w:before="360"/>
      </w:pPr>
      <w:bookmarkStart w:name="_Toc12" w:id="12"/>
      <w:r>
        <w:rPr>
          <w:rFonts w:ascii="Arial" w:cs="Arial" w:eastAsia="Arial" w:hAnsi="Arial"/>
          <w:b/>
          <w:bCs/>
          <w:color w:val="1F3864"/>
          <w:sz w:val="32"/>
          <w:szCs w:val="32"/>
        </w:rPr>
        <w:t xml:space="preserve">10. Next steps for the team</w:t>
      </w:r>
      <w:bookmarkEnd w:id="12"/>
    </w:p>
    <w:p>
      <w:pPr>
        <w:pStyle w:val="ListParagraph"/>
        <w:numPr>
          <w:ilvl w:val="0"/>
          <w:numId w:val="2"/>
        </w:numPr>
        <w:spacing w:after="60"/>
      </w:pPr>
      <w:r>
        <w:rPr>
          <w:rFonts w:ascii="Arial" w:cs="Arial" w:eastAsia="Arial" w:hAnsi="Arial"/>
          <w:b/>
          <w:bCs/>
          <w:sz w:val="22"/>
          <w:szCs w:val="22"/>
        </w:rPr>
        <w:t xml:space="preserve">1. </w:t>
      </w:r>
      <w:r>
        <w:rPr>
          <w:rFonts w:ascii="Arial" w:cs="Arial" w:eastAsia="Arial" w:hAnsi="Arial"/>
          <w:sz w:val="22"/>
          <w:szCs w:val="22"/>
        </w:rPr>
        <w:t xml:space="preserve">Label the 181 statements in docs/hand_label_sample.csv (the next step in the plan).</w:t>
      </w:r>
    </w:p>
    <w:p>
      <w:pPr>
        <w:pStyle w:val="ListParagraph"/>
        <w:numPr>
          <w:ilvl w:val="0"/>
          <w:numId w:val="2"/>
        </w:numPr>
        <w:spacing w:after="60"/>
      </w:pPr>
      <w:r>
        <w:rPr>
          <w:rFonts w:ascii="Arial" w:cs="Arial" w:eastAsia="Arial" w:hAnsi="Arial"/>
          <w:b/>
          <w:bCs/>
          <w:sz w:val="22"/>
          <w:szCs w:val="22"/>
        </w:rPr>
        <w:t xml:space="preserve">2. </w:t>
      </w:r>
      <w:r>
        <w:rPr>
          <w:rFonts w:ascii="Arial" w:cs="Arial" w:eastAsia="Arial" w:hAnsi="Arial"/>
          <w:sz w:val="22"/>
          <w:szCs w:val="22"/>
        </w:rPr>
        <w:t xml:space="preserve">Add meeting calendars for BoE, BoC, RBA, BoK and CBR by hand so holds can be included.</w:t>
      </w:r>
    </w:p>
    <w:p>
      <w:pPr>
        <w:pStyle w:val="ListParagraph"/>
        <w:numPr>
          <w:ilvl w:val="0"/>
          <w:numId w:val="2"/>
        </w:numPr>
        <w:spacing w:after="60"/>
      </w:pPr>
      <w:r>
        <w:rPr>
          <w:rFonts w:ascii="Arial" w:cs="Arial" w:eastAsia="Arial" w:hAnsi="Arial"/>
          <w:b/>
          <w:bCs/>
          <w:sz w:val="22"/>
          <w:szCs w:val="22"/>
        </w:rPr>
        <w:t xml:space="preserve">3. </w:t>
      </w:r>
      <w:r>
        <w:rPr>
          <w:rFonts w:ascii="Arial" w:cs="Arial" w:eastAsia="Arial" w:hAnsi="Arial"/>
          <w:sz w:val="22"/>
          <w:szCs w:val="22"/>
        </w:rPr>
        <w:t xml:space="preserve">Check the 23 RBI between-meeting rate changes and add the missing RBI statements.</w:t>
      </w:r>
    </w:p>
    <w:p>
      <w:pPr>
        <w:pStyle w:val="ListParagraph"/>
        <w:numPr>
          <w:ilvl w:val="0"/>
          <w:numId w:val="2"/>
        </w:numPr>
        <w:spacing w:after="60"/>
      </w:pPr>
      <w:r>
        <w:rPr>
          <w:rFonts w:ascii="Arial" w:cs="Arial" w:eastAsia="Arial" w:hAnsi="Arial"/>
          <w:b/>
          <w:bCs/>
          <w:sz w:val="22"/>
          <w:szCs w:val="22"/>
        </w:rPr>
        <w:t xml:space="preserve">4. </w:t>
      </w:r>
      <w:r>
        <w:rPr>
          <w:rFonts w:ascii="Arial" w:cs="Arial" w:eastAsia="Arial" w:hAnsi="Arial"/>
          <w:sz w:val="22"/>
          <w:szCs w:val="22"/>
        </w:rPr>
        <w:t xml:space="preserve">Ask the university about Datastream or Bloomberg access to fill the index, yield and valuation gaps.</w:t>
      </w:r>
    </w:p>
    <w:p>
      <w:pPr>
        <w:pStyle w:val="Heading1"/>
        <w:spacing w:after="160" w:before="360"/>
      </w:pPr>
      <w:bookmarkStart w:name="_Toc13" w:id="13"/>
      <w:r>
        <w:rPr>
          <w:rFonts w:ascii="Arial" w:cs="Arial" w:eastAsia="Arial" w:hAnsi="Arial"/>
          <w:b/>
          <w:bCs/>
          <w:color w:val="1F3864"/>
          <w:sz w:val="32"/>
          <w:szCs w:val="32"/>
        </w:rPr>
        <w:t xml:space="preserve">11. Where to find things</w:t>
      </w:r>
      <w:bookmarkEnd w:id="13"/>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600"/>
        <w:gridCol w:w="550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5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Contents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README.md</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Setup for a new teammate and a map of the dataset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docs/data_dictionary.md</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Every column of every file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docs/issues.md</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gaps, substitutions and open questions (ISS-001 to ISS-028)</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DECISIONS.md</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Every design choice with its reason (DECISION-001 to 019, GATE-B)</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docs/data_quality_report.md</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Coverage of every series and control</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docs/shock_validation.md</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Shock coverage, validation and largest shocks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docs/statements_coverage.md</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Statements per central bank and year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data/final/MoTrans15_all_records.xlsx</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records in one Excel workbook (local only; contains licensed data)</w:t>
            </w:r>
          </w:p>
        </w:tc>
      </w:tr>
    </w:tbl>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MoTrans-15 summary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MoTrans-15: summary of Phases A to E</dc:title>
  <dc:creator>MoTrans-15 team</dc:creator>
  <cp:lastModifiedBy>Un-named</cp:lastModifiedBy>
  <cp:revision>1</cp:revision>
  <dcterms:created xsi:type="dcterms:W3CDTF">2026-10-13T15:20:51.073Z</dcterms:created>
  <dcterms:modified xsi:type="dcterms:W3CDTF">2026-10-13T15:20:51.075Z</dcterms:modified>
</cp:coreProperties>
</file>

<file path=docProps/custom.xml><?xml version="1.0" encoding="utf-8"?>
<Properties xmlns="http://schemas.openxmlformats.org/officeDocument/2006/custom-properties" xmlns:vt="http://schemas.openxmlformats.org/officeDocument/2006/docPropsVTypes"/>
</file>