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34"/>
        </w:rPr>
        <w:t>See It, Say It, Pick It — Where Apertus Had Difficulty</w:t>
      </w:r>
    </w:p>
    <w:p>
      <w:pPr>
        <w:spacing w:after="80" w:before="0" w:line="252" w:lineRule="auto"/>
      </w:pPr>
      <w:r>
        <w:rPr>
          <w:b w:val="0"/>
          <w:color w:val="595959"/>
          <w:sz w:val="18"/>
        </w:rPr>
        <w:t>Hack Apertus 2026 · Track 2A · ZHAW challenge · Team: [team name] — [members]</w:t>
      </w:r>
    </w:p>
    <w:p>
      <w:pPr>
        <w:keepNext/>
        <w:spacing w:before="140" w:after="60"/>
        <w:pBdr>
          <w:bottom w:val="single" w:sz="4" w:space="1" w:color="1F4E79"/>
        </w:pBdr>
      </w:pPr>
      <w:r>
        <w:rPr>
          <w:b/>
          <w:color w:val="1F4E79"/>
          <w:sz w:val="23"/>
        </w:rPr>
        <w:t>1. Summary</w:t>
      </w:r>
    </w:p>
    <w:p>
      <w:pPr>
        <w:spacing w:after="80" w:before="0" w:line="252" w:lineRule="auto"/>
        <w:jc w:val="both"/>
      </w:pPr>
      <w:r>
        <w:rPr>
          <w:b w:val="0"/>
        </w:rPr>
        <w:t xml:space="preserve">Our pipeline turns one photo of a robot workcell and one English instruction into a pick-and-place plan, a clarifying question or a refusal. Open vision models (Grounding DINO, CLIP, OpenCV) build a scene graph; Apertus 1.5 8B (Q4_K_M, served locally by Ollama, temperature 0, JSON-schema-constrained output) reads the instruction; plain code resolves the geometry and assembles the answer. Everything runs locally with no proprietary model or external API. On the 10-scene dev set the final version scores </w:t>
      </w:r>
      <w:r>
        <w:rPr>
          <w:b w:val="0"/>
        </w:rPr>
        <w:t>65.0 / 65</w:t>
      </w:r>
      <w:r>
        <w:rPr>
          <w:b w:val="0"/>
        </w:rPr>
        <w:t xml:space="preserve"> automatic points (grounding 35/35, safety 30/30), up from 34.9 for our first end-to-end version. This report explains where Apertus struggled and how that shaped the design.</w:t>
      </w:r>
    </w:p>
    <w:p>
      <w:pPr>
        <w:keepNext/>
        <w:spacing w:before="140" w:after="60"/>
        <w:pBdr>
          <w:bottom w:val="single" w:sz="4" w:space="1" w:color="1F4E79"/>
        </w:pBdr>
      </w:pPr>
      <w:r>
        <w:rPr>
          <w:b/>
          <w:color w:val="1F4E79"/>
          <w:sz w:val="23"/>
        </w:rPr>
        <w:t>2. Our approach in brief</w:t>
      </w:r>
    </w:p>
    <w:p>
      <w:pPr>
        <w:spacing w:after="80" w:before="0" w:line="252" w:lineRule="auto"/>
        <w:jc w:val="both"/>
      </w:pPr>
      <w:r>
        <w:rPr>
          <w:b w:val="0"/>
        </w:rPr>
        <w:t>Apertus does the language work: it converts a sentence into a fixed structure (motion, object, destination, what must not move, whether the motion is safe). Code then matches that structure against the scene graph, orders the actions (for example, lifting the object lying on top first), asks when the reference is ambiguous and refuses when the request is impossible (object missing, wider than the 85 mm gripper) or unsafe. Safety is checked twice: Apertus classifies the motion, and a short word list ("throw", "push", "my hand", …) can refuse independently.</w:t>
      </w:r>
    </w:p>
    <w:p>
      <w:pPr>
        <w:keepNext/>
        <w:spacing w:before="140" w:after="60"/>
        <w:pBdr>
          <w:bottom w:val="single" w:sz="4" w:space="1" w:color="1F4E79"/>
        </w:pBdr>
      </w:pPr>
      <w:r>
        <w:rPr>
          <w:b/>
          <w:color w:val="1F4E79"/>
          <w:sz w:val="23"/>
        </w:rPr>
        <w:t>3. Difficulty 1: spatial and physical reasoning</w:t>
      </w:r>
    </w:p>
    <w:p>
      <w:pPr>
        <w:spacing w:after="80" w:before="0" w:line="252" w:lineRule="auto"/>
        <w:jc w:val="both"/>
      </w:pPr>
      <w:r>
        <w:rPr>
          <w:b w:val="0"/>
        </w:rPr>
        <w:t>In our first version Apertus received a list of objects with pixel positions and had to name the first object to pick. It often failed on instructions that need geometry: relative positions ("left of", "between") and stacked objects, where the named object is not the one the robot must pick first. To measure this separately from vision errors, we ran a side experiment on the 24 relative and multistep dev instructions, using the same correct scene graphs. The pipeline's code gets all 24 right, so every miss below is Apertus's.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4195"/>
            <w:shd w:val="clear" w:color="auto" w:fill="DCE6F1"/>
          </w:tcPr>
          <w:p>
            <w:pPr>
              <w:spacing w:after="20" w:before="20"/>
              <w:jc w:val="left"/>
            </w:pPr>
            <w:r>
              <w:rPr>
                <w:b/>
                <w:sz w:val="18"/>
              </w:rPr>
              <w:t>Variant</w:t>
            </w:r>
          </w:p>
        </w:tc>
        <w:tc>
          <w:tcPr>
            <w:tcW w:type="dxa" w:w="1814"/>
            <w:shd w:val="clear" w:color="auto" w:fill="DCE6F1"/>
          </w:tcPr>
          <w:p>
            <w:pPr>
              <w:spacing w:after="20" w:before="20"/>
              <w:jc w:val="center"/>
            </w:pPr>
            <w:r>
              <w:rPr>
                <w:b/>
                <w:sz w:val="18"/>
              </w:rPr>
              <w:t>Relative (of 14)</w:t>
            </w:r>
          </w:p>
        </w:tc>
        <w:tc>
          <w:tcPr>
            <w:tcW w:type="dxa" w:w="1814"/>
            <w:shd w:val="clear" w:color="auto" w:fill="DCE6F1"/>
          </w:tcPr>
          <w:p>
            <w:pPr>
              <w:spacing w:after="20" w:before="20"/>
              <w:jc w:val="center"/>
            </w:pPr>
            <w:r>
              <w:rPr>
                <w:b/>
                <w:sz w:val="18"/>
              </w:rPr>
              <w:t>Multistep (of 10)</w:t>
            </w:r>
          </w:p>
        </w:tc>
        <w:tc>
          <w:tcPr>
            <w:tcW w:type="dxa" w:w="1814"/>
            <w:shd w:val="clear" w:color="auto" w:fill="DCE6F1"/>
          </w:tcPr>
          <w:p>
            <w:pPr>
              <w:spacing w:after="20" w:before="20"/>
              <w:jc w:val="center"/>
            </w:pPr>
            <w:r>
              <w:rPr>
                <w:b/>
                <w:sz w:val="18"/>
              </w:rPr>
              <w:t>All (of 24)</w:t>
            </w:r>
          </w:p>
        </w:tc>
      </w:tr>
      <w:tr>
        <w:tc>
          <w:tcPr>
            <w:tcW w:type="dxa" w:w="4195"/>
          </w:tcPr>
          <w:p>
            <w:pPr>
              <w:spacing w:after="20" w:before="20"/>
              <w:jc w:val="left"/>
            </w:pPr>
            <w:r>
              <w:rPr>
                <w:b w:val="0"/>
                <w:sz w:val="18"/>
              </w:rPr>
              <w:t>Plain object list with pixel positions</w:t>
            </w:r>
          </w:p>
        </w:tc>
        <w:tc>
          <w:tcPr>
            <w:tcW w:type="dxa" w:w="1814"/>
          </w:tcPr>
          <w:p>
            <w:pPr>
              <w:spacing w:after="20" w:before="20"/>
              <w:jc w:val="center"/>
            </w:pPr>
            <w:r>
              <w:rPr>
                <w:b w:val="0"/>
                <w:sz w:val="18"/>
              </w:rPr>
              <w:t>10</w:t>
            </w:r>
          </w:p>
        </w:tc>
        <w:tc>
          <w:tcPr>
            <w:tcW w:type="dxa" w:w="1814"/>
          </w:tcPr>
          <w:p>
            <w:pPr>
              <w:spacing w:after="20" w:before="20"/>
              <w:jc w:val="center"/>
            </w:pPr>
            <w:r>
              <w:rPr>
                <w:b w:val="0"/>
                <w:sz w:val="18"/>
              </w:rPr>
              <w:t>6</w:t>
            </w:r>
          </w:p>
        </w:tc>
        <w:tc>
          <w:tcPr>
            <w:tcW w:type="dxa" w:w="1814"/>
          </w:tcPr>
          <w:p>
            <w:pPr>
              <w:spacing w:after="20" w:before="20"/>
              <w:jc w:val="center"/>
            </w:pPr>
            <w:r>
              <w:rPr>
                <w:b w:val="0"/>
                <w:sz w:val="18"/>
              </w:rPr>
              <w:t>16</w:t>
            </w:r>
          </w:p>
        </w:tc>
      </w:tr>
      <w:tr>
        <w:tc>
          <w:tcPr>
            <w:tcW w:type="dxa" w:w="4195"/>
          </w:tcPr>
          <w:p>
            <w:pPr>
              <w:spacing w:after="20" w:before="20"/>
              <w:jc w:val="left"/>
            </w:pPr>
            <w:r>
              <w:rPr>
                <w:b w:val="0"/>
                <w:sz w:val="18"/>
              </w:rPr>
              <w:t>+ 4 worked examples with written reasoning</w:t>
            </w:r>
          </w:p>
        </w:tc>
        <w:tc>
          <w:tcPr>
            <w:tcW w:type="dxa" w:w="1814"/>
          </w:tcPr>
          <w:p>
            <w:pPr>
              <w:spacing w:after="20" w:before="20"/>
              <w:jc w:val="center"/>
            </w:pPr>
            <w:r>
              <w:rPr>
                <w:b w:val="0"/>
                <w:sz w:val="18"/>
              </w:rPr>
              <w:t>11</w:t>
            </w:r>
          </w:p>
        </w:tc>
        <w:tc>
          <w:tcPr>
            <w:tcW w:type="dxa" w:w="1814"/>
          </w:tcPr>
          <w:p>
            <w:pPr>
              <w:spacing w:after="20" w:before="20"/>
              <w:jc w:val="center"/>
            </w:pPr>
            <w:r>
              <w:rPr>
                <w:b w:val="0"/>
                <w:sz w:val="18"/>
              </w:rPr>
              <w:t>5</w:t>
            </w:r>
          </w:p>
        </w:tc>
        <w:tc>
          <w:tcPr>
            <w:tcW w:type="dxa" w:w="1814"/>
          </w:tcPr>
          <w:p>
            <w:pPr>
              <w:spacing w:after="20" w:before="20"/>
              <w:jc w:val="center"/>
            </w:pPr>
            <w:r>
              <w:rPr>
                <w:b w:val="0"/>
                <w:sz w:val="18"/>
              </w:rPr>
              <w:t>16</w:t>
            </w:r>
          </w:p>
        </w:tc>
      </w:tr>
      <w:tr>
        <w:tc>
          <w:tcPr>
            <w:tcW w:type="dxa" w:w="4195"/>
          </w:tcPr>
          <w:p>
            <w:pPr>
              <w:spacing w:after="20" w:before="20"/>
              <w:jc w:val="left"/>
            </w:pPr>
            <w:r>
              <w:rPr>
                <w:b w:val="0"/>
                <w:sz w:val="18"/>
              </w:rPr>
              <w:t>Vote: 5 samples at T = 0.7, majority wins</w:t>
            </w:r>
          </w:p>
        </w:tc>
        <w:tc>
          <w:tcPr>
            <w:tcW w:type="dxa" w:w="1814"/>
          </w:tcPr>
          <w:p>
            <w:pPr>
              <w:spacing w:after="20" w:before="20"/>
              <w:jc w:val="center"/>
            </w:pPr>
            <w:r>
              <w:rPr>
                <w:b w:val="0"/>
                <w:sz w:val="18"/>
              </w:rPr>
              <w:t>7</w:t>
            </w:r>
          </w:p>
        </w:tc>
        <w:tc>
          <w:tcPr>
            <w:tcW w:type="dxa" w:w="1814"/>
          </w:tcPr>
          <w:p>
            <w:pPr>
              <w:spacing w:after="20" w:before="20"/>
              <w:jc w:val="center"/>
            </w:pPr>
            <w:r>
              <w:rPr>
                <w:b w:val="0"/>
                <w:sz w:val="18"/>
              </w:rPr>
              <w:t>6</w:t>
            </w:r>
          </w:p>
        </w:tc>
        <w:tc>
          <w:tcPr>
            <w:tcW w:type="dxa" w:w="1814"/>
          </w:tcPr>
          <w:p>
            <w:pPr>
              <w:spacing w:after="20" w:before="20"/>
              <w:jc w:val="center"/>
            </w:pPr>
            <w:r>
              <w:rPr>
                <w:b w:val="0"/>
                <w:sz w:val="18"/>
              </w:rPr>
              <w:t>13</w:t>
            </w:r>
          </w:p>
        </w:tc>
      </w:tr>
      <w:tr>
        <w:tc>
          <w:tcPr>
            <w:tcW w:type="dxa" w:w="4195"/>
          </w:tcPr>
          <w:p>
            <w:pPr>
              <w:spacing w:after="20" w:before="20"/>
              <w:jc w:val="left"/>
            </w:pPr>
            <w:r>
              <w:rPr>
                <w:b w:val="0"/>
                <w:sz w:val="18"/>
              </w:rPr>
              <w:t>Examples + vote</w:t>
            </w:r>
          </w:p>
        </w:tc>
        <w:tc>
          <w:tcPr>
            <w:tcW w:type="dxa" w:w="1814"/>
          </w:tcPr>
          <w:p>
            <w:pPr>
              <w:spacing w:after="20" w:before="20"/>
              <w:jc w:val="center"/>
            </w:pPr>
            <w:r>
              <w:rPr>
                <w:b w:val="0"/>
                <w:sz w:val="18"/>
              </w:rPr>
              <w:t>10</w:t>
            </w:r>
          </w:p>
        </w:tc>
        <w:tc>
          <w:tcPr>
            <w:tcW w:type="dxa" w:w="1814"/>
          </w:tcPr>
          <w:p>
            <w:pPr>
              <w:spacing w:after="20" w:before="20"/>
              <w:jc w:val="center"/>
            </w:pPr>
            <w:r>
              <w:rPr>
                <w:b w:val="0"/>
                <w:sz w:val="18"/>
              </w:rPr>
              <w:t>6</w:t>
            </w:r>
          </w:p>
        </w:tc>
        <w:tc>
          <w:tcPr>
            <w:tcW w:type="dxa" w:w="1814"/>
          </w:tcPr>
          <w:p>
            <w:pPr>
              <w:spacing w:after="20" w:before="20"/>
              <w:jc w:val="center"/>
            </w:pPr>
            <w:r>
              <w:rPr>
                <w:b w:val="0"/>
                <w:sz w:val="18"/>
              </w:rPr>
              <w:t>16</w:t>
            </w:r>
          </w:p>
        </w:tc>
      </w:tr>
      <w:tr>
        <w:tc>
          <w:tcPr>
            <w:tcW w:type="dxa" w:w="4195"/>
          </w:tcPr>
          <w:p>
            <w:pPr>
              <w:spacing w:after="20" w:before="20"/>
              <w:jc w:val="left"/>
            </w:pPr>
            <w:r>
              <w:rPr>
                <w:b w:val="0"/>
                <w:sz w:val="18"/>
              </w:rPr>
              <w:t>Facts: geometry computed by code, given as text</w:t>
            </w:r>
          </w:p>
        </w:tc>
        <w:tc>
          <w:tcPr>
            <w:tcW w:type="dxa" w:w="1814"/>
          </w:tcPr>
          <w:p>
            <w:pPr>
              <w:spacing w:after="20" w:before="20"/>
              <w:jc w:val="center"/>
            </w:pPr>
            <w:r>
              <w:rPr>
                <w:b w:val="0"/>
                <w:sz w:val="18"/>
              </w:rPr>
              <w:t>11</w:t>
            </w:r>
          </w:p>
        </w:tc>
        <w:tc>
          <w:tcPr>
            <w:tcW w:type="dxa" w:w="1814"/>
          </w:tcPr>
          <w:p>
            <w:pPr>
              <w:spacing w:after="20" w:before="20"/>
              <w:jc w:val="center"/>
            </w:pPr>
            <w:r>
              <w:rPr>
                <w:b w:val="0"/>
                <w:sz w:val="18"/>
              </w:rPr>
              <w:t>6</w:t>
            </w:r>
          </w:p>
        </w:tc>
        <w:tc>
          <w:tcPr>
            <w:tcW w:type="dxa" w:w="1814"/>
          </w:tcPr>
          <w:p>
            <w:pPr>
              <w:spacing w:after="20" w:before="20"/>
              <w:jc w:val="center"/>
            </w:pPr>
            <w:r>
              <w:rPr>
                <w:b w:val="0"/>
                <w:sz w:val="18"/>
              </w:rPr>
              <w:t>17</w:t>
            </w:r>
          </w:p>
        </w:tc>
      </w:tr>
      <w:tr>
        <w:tc>
          <w:tcPr>
            <w:tcW w:type="dxa" w:w="4195"/>
          </w:tcPr>
          <w:p>
            <w:pPr>
              <w:spacing w:after="20" w:before="20"/>
              <w:jc w:val="left"/>
            </w:pPr>
            <w:r>
              <w:rPr>
                <w:b w:val="0"/>
                <w:sz w:val="18"/>
              </w:rPr>
              <w:t>Facts + examples + vote</w:t>
            </w:r>
          </w:p>
        </w:tc>
        <w:tc>
          <w:tcPr>
            <w:tcW w:type="dxa" w:w="1814"/>
          </w:tcPr>
          <w:p>
            <w:pPr>
              <w:spacing w:after="20" w:before="20"/>
              <w:jc w:val="center"/>
            </w:pPr>
            <w:r>
              <w:rPr>
                <w:b w:val="0"/>
                <w:sz w:val="18"/>
              </w:rPr>
              <w:t>10</w:t>
            </w:r>
          </w:p>
        </w:tc>
        <w:tc>
          <w:tcPr>
            <w:tcW w:type="dxa" w:w="1814"/>
          </w:tcPr>
          <w:p>
            <w:pPr>
              <w:spacing w:after="20" w:before="20"/>
              <w:jc w:val="center"/>
            </w:pPr>
            <w:r>
              <w:rPr>
                <w:b w:val="0"/>
                <w:sz w:val="18"/>
              </w:rPr>
              <w:t>8</w:t>
            </w:r>
          </w:p>
        </w:tc>
        <w:tc>
          <w:tcPr>
            <w:tcW w:type="dxa" w:w="1814"/>
          </w:tcPr>
          <w:p>
            <w:pPr>
              <w:spacing w:after="20" w:before="20"/>
              <w:jc w:val="center"/>
            </w:pPr>
            <w:r>
              <w:rPr>
                <w:b w:val="0"/>
                <w:sz w:val="18"/>
              </w:rPr>
              <w:t>18</w:t>
            </w:r>
          </w:p>
        </w:tc>
      </w:tr>
      <w:tr>
        <w:tc>
          <w:tcPr>
            <w:tcW w:type="dxa" w:w="4195"/>
          </w:tcPr>
          <w:p>
            <w:pPr>
              <w:spacing w:after="20" w:before="20"/>
              <w:jc w:val="left"/>
            </w:pPr>
            <w:r>
              <w:rPr>
                <w:b/>
                <w:sz w:val="18"/>
              </w:rPr>
              <w:t>Code (our pipeline)</w:t>
            </w:r>
          </w:p>
        </w:tc>
        <w:tc>
          <w:tcPr>
            <w:tcW w:type="dxa" w:w="1814"/>
          </w:tcPr>
          <w:p>
            <w:pPr>
              <w:spacing w:after="20" w:before="20"/>
              <w:jc w:val="center"/>
            </w:pPr>
            <w:r>
              <w:rPr>
                <w:b/>
                <w:sz w:val="18"/>
              </w:rPr>
              <w:t>14</w:t>
            </w:r>
          </w:p>
        </w:tc>
        <w:tc>
          <w:tcPr>
            <w:tcW w:type="dxa" w:w="1814"/>
          </w:tcPr>
          <w:p>
            <w:pPr>
              <w:spacing w:after="20" w:before="20"/>
              <w:jc w:val="center"/>
            </w:pPr>
            <w:r>
              <w:rPr>
                <w:b/>
                <w:sz w:val="18"/>
              </w:rPr>
              <w:t>10</w:t>
            </w:r>
          </w:p>
        </w:tc>
        <w:tc>
          <w:tcPr>
            <w:tcW w:type="dxa" w:w="1814"/>
          </w:tcPr>
          <w:p>
            <w:pPr>
              <w:spacing w:after="20" w:before="20"/>
              <w:jc w:val="center"/>
            </w:pPr>
            <w:r>
              <w:rPr>
                <w:b/>
                <w:sz w:val="18"/>
              </w:rPr>
              <w:t>24</w:t>
            </w:r>
          </w:p>
        </w:tc>
      </w:tr>
    </w:tbl>
    <w:p>
      <w:pPr>
        <w:spacing w:after="0"/>
      </w:pPr>
    </w:p>
    <w:p>
      <w:pPr>
        <w:pStyle w:val="ListBullet"/>
        <w:spacing w:after="40" w:line="252" w:lineRule="auto"/>
        <w:jc w:val="both"/>
      </w:pPr>
      <w:r>
        <w:rPr>
          <w:b w:val="0"/>
        </w:rPr>
        <w:t xml:space="preserve">Few-shot examples did not help. </w:t>
      </w:r>
      <w:r>
        <w:rPr>
          <w:b w:val="0"/>
        </w:rPr>
        <w:t>Four worked examples left the total unchanged (16 of 24).</w:t>
      </w:r>
    </w:p>
    <w:p>
      <w:pPr>
        <w:pStyle w:val="ListBullet"/>
        <w:spacing w:after="40" w:line="252" w:lineRule="auto"/>
        <w:jc w:val="both"/>
      </w:pPr>
      <w:r>
        <w:rPr>
          <w:b w:val="0"/>
        </w:rPr>
        <w:t xml:space="preserve">Voting made it worse. </w:t>
      </w:r>
      <w:r>
        <w:rPr>
          <w:b w:val="0"/>
        </w:rPr>
        <w:t>The five samples often agree on the same wrong answer, so voting cannot fix a systematic error (13 of 24, below a single answer).</w:t>
      </w:r>
    </w:p>
    <w:p>
      <w:pPr>
        <w:pStyle w:val="ListBullet"/>
        <w:spacing w:after="40" w:line="252" w:lineRule="auto"/>
        <w:jc w:val="both"/>
      </w:pPr>
      <w:r>
        <w:rPr>
          <w:b w:val="0"/>
        </w:rPr>
        <w:t xml:space="preserve">Giving the geometry as text helps only a little. </w:t>
      </w:r>
      <w:r>
        <w:rPr>
          <w:b w:val="0"/>
        </w:rPr>
        <w:t>Left-to-right order, pixel gaps and what lies on what gave 17–18 of 24, still 75% at best. The variants differ by one or two instructions, so only the gap to code (100%) is clear.</w:t>
      </w:r>
    </w:p>
    <w:p>
      <w:pPr>
        <w:spacing w:after="80" w:before="0" w:line="252" w:lineRule="auto"/>
        <w:jc w:val="both"/>
      </w:pPr>
      <w:r>
        <w:rPr>
          <w:b w:val="0"/>
        </w:rPr>
        <w:t>Conclusion: an 8B model at 4-bit quantisation is not reliable for metric and relational reasoning, even when the facts are in the prompt. We therefore moved all geometry into code and kept Apertus for language understanding. Together with better vision, this change accounts for most of the jump from 34.9 to about 60 points.</w:t>
      </w:r>
    </w:p>
    <w:p>
      <w:pPr>
        <w:keepNext/>
        <w:spacing w:before="140" w:after="60"/>
        <w:pBdr>
          <w:bottom w:val="single" w:sz="4" w:space="1" w:color="1F4E79"/>
        </w:pBdr>
      </w:pPr>
      <w:r>
        <w:rPr>
          <w:b/>
          <w:color w:val="1F4E79"/>
          <w:sz w:val="23"/>
        </w:rPr>
        <w:t>4. Difficulty 2: parsing errors that look plausible</w:t>
      </w:r>
    </w:p>
    <w:p>
      <w:pPr>
        <w:spacing w:after="80" w:before="0" w:line="252" w:lineRule="auto"/>
        <w:jc w:val="both"/>
      </w:pPr>
      <w:r>
        <w:rPr>
          <w:b w:val="0"/>
        </w:rPr>
        <w:t>Even for pure language understanding, Apertus produced structurally valid JSON that was semantically wrong. Constrained decoding guarantees the format, not the meaning. The recurring failures were:</w:t>
      </w:r>
    </w:p>
    <w:p>
      <w:pPr>
        <w:pStyle w:val="ListBullet"/>
        <w:spacing w:after="40" w:line="252" w:lineRule="auto"/>
        <w:jc w:val="both"/>
      </w:pPr>
      <w:r>
        <w:rPr>
          <w:b w:val="0"/>
        </w:rPr>
        <w:t xml:space="preserve">Invented destinations. </w:t>
      </w:r>
      <w:r>
        <w:rPr>
          <w:b w:val="0"/>
        </w:rPr>
        <w:t>For a pick-up such as "pick up the red gear" the parse sometimes contained a place target. Code now rejects a destination on a pick-up.</w:t>
      </w:r>
    </w:p>
    <w:p>
      <w:pPr>
        <w:pStyle w:val="ListBullet"/>
        <w:spacing w:after="40" w:line="252" w:lineRule="auto"/>
        <w:jc w:val="both"/>
      </w:pPr>
      <w:r>
        <w:rPr>
          <w:b w:val="0"/>
        </w:rPr>
        <w:t xml:space="preserve">Mis-bound colours. </w:t>
      </w:r>
      <w:r>
        <w:rPr>
          <w:b w:val="0"/>
        </w:rPr>
        <w:t>In phrases with two colours, the adjective was attached to the wrong noun ("put the red gear under the yellow gear"). Code now binds a colour only to the noun written directly after it.</w:t>
      </w:r>
    </w:p>
    <w:p>
      <w:pPr>
        <w:pStyle w:val="ListBullet"/>
        <w:spacing w:after="40" w:line="252" w:lineRule="auto"/>
        <w:jc w:val="both"/>
      </w:pPr>
      <w:r>
        <w:rPr>
          <w:b w:val="0"/>
        </w:rPr>
        <w:t xml:space="preserve">Unreliable refusal reasons. </w:t>
      </w:r>
      <w:r>
        <w:rPr>
          <w:b w:val="0"/>
        </w:rPr>
        <w:t>Apertus flagged unsafe motions, but its stated reason was sometimes vague or wrong, which matters because a jury reads it. The word list now supplies the reason when it fires.</w:t>
      </w:r>
    </w:p>
    <w:p>
      <w:pPr>
        <w:spacing w:after="80" w:before="0" w:line="252" w:lineRule="auto"/>
        <w:jc w:val="both"/>
      </w:pPr>
      <w:r>
        <w:rPr>
          <w:b w:val="0"/>
        </w:rPr>
        <w:t>These fixes are general rules about the parse; none is written for a particular dev instruction. They lifted the score from about 61.8 (v3) to 65.0 (v4).</w:t>
      </w:r>
    </w:p>
    <w:p>
      <w:pPr>
        <w:keepNext/>
        <w:spacing w:before="140" w:after="60"/>
        <w:pBdr>
          <w:bottom w:val="single" w:sz="4" w:space="1" w:color="1F4E79"/>
        </w:pBdr>
      </w:pPr>
      <w:r>
        <w:rPr>
          <w:b/>
          <w:color w:val="1F4E79"/>
          <w:sz w:val="23"/>
        </w:rPr>
        <w:t>5. Difficulty 3: safety, ambiguity and over-refusal</w:t>
      </w:r>
    </w:p>
    <w:p>
      <w:pPr>
        <w:spacing w:after="80" w:before="0" w:line="252" w:lineRule="auto"/>
        <w:jc w:val="both"/>
      </w:pPr>
      <w:r>
        <w:rPr>
          <w:b w:val="0"/>
        </w:rPr>
        <w:t>Safety scoring punishes both sides: a plan for an unsafe request is wrong, and refusing a valid plan costs points, so "refuse everything" scores 0. Apertus alone was uneven here. It sometimes planned motions that should be refused (pushing or throwing objects, moving something near a hand) and sometimes asked a question when the instruction was clear. The second check by word list catches the first problem; code decides ambiguity by counting how many scene objects match the parsed description, rather than trusting the model's own judgement. In the final version all 10 ask/refuse cases are correct and none of the 40 valid plans is refused.</w:t>
      </w:r>
    </w:p>
    <w:p>
      <w:pPr>
        <w:keepNext/>
        <w:spacing w:before="140" w:after="60"/>
        <w:pBdr>
          <w:bottom w:val="single" w:sz="4" w:space="1" w:color="1F4E79"/>
        </w:pBdr>
      </w:pPr>
      <w:r>
        <w:rPr>
          <w:b/>
          <w:color w:val="1F4E79"/>
          <w:sz w:val="23"/>
        </w:rPr>
        <w:t>6. Difficulty 4: practical limits</w:t>
      </w:r>
    </w:p>
    <w:p>
      <w:pPr>
        <w:pStyle w:val="ListBullet"/>
        <w:spacing w:after="40" w:line="252" w:lineRule="auto"/>
        <w:jc w:val="both"/>
      </w:pPr>
      <w:r>
        <w:rPr>
          <w:b w:val="0"/>
        </w:rPr>
        <w:t xml:space="preserve">Determinism. </w:t>
      </w:r>
      <w:r>
        <w:rPr>
          <w:b w:val="0"/>
        </w:rPr>
        <w:t>Apertus at temperature 0 on a GPU is not bit-exact between runs. We scored v4 against two independent sets of Apertus replies; both gave 65.0, and we cache replies so reported numbers can be reproduced.</w:t>
      </w:r>
    </w:p>
    <w:p>
      <w:pPr>
        <w:pStyle w:val="ListBullet"/>
        <w:spacing w:after="40" w:line="252" w:lineRule="auto"/>
        <w:jc w:val="both"/>
      </w:pPr>
      <w:r>
        <w:rPr>
          <w:b w:val="0"/>
        </w:rPr>
        <w:t xml:space="preserve">Hardware. </w:t>
      </w:r>
      <w:r>
        <w:rPr>
          <w:b w:val="0"/>
        </w:rPr>
        <w:t>Apertus and the vision models do not fit on a 6 GB GPU together, so the pipeline unloads Apertus before the vision step. Planning took about 13 minutes without cache on that GPU.</w:t>
      </w:r>
    </w:p>
    <w:p>
      <w:pPr>
        <w:pStyle w:val="ListBullet"/>
        <w:spacing w:after="40" w:line="252" w:lineRule="auto"/>
        <w:jc w:val="both"/>
      </w:pPr>
      <w:r>
        <w:rPr>
          <w:b w:val="0"/>
        </w:rPr>
        <w:t xml:space="preserve">Held-out generalisation. </w:t>
      </w:r>
      <w:r>
        <w:rPr>
          <w:b w:val="0"/>
        </w:rPr>
        <w:t>The dev answers are public and the pipeline was tuned on them. The held-out scenes are the real test of whether the rules generalise; those results are in the technical report.</w:t>
      </w:r>
    </w:p>
    <w:p>
      <w:pPr>
        <w:keepNext/>
        <w:spacing w:before="140" w:after="60"/>
        <w:pBdr>
          <w:bottom w:val="single" w:sz="4" w:space="1" w:color="1F4E79"/>
        </w:pBdr>
      </w:pPr>
      <w:r>
        <w:rPr>
          <w:b/>
          <w:color w:val="1F4E79"/>
          <w:sz w:val="23"/>
        </w:rPr>
        <w:t>7. Lessons learned and next steps</w:t>
      </w:r>
    </w:p>
    <w:p>
      <w:pPr>
        <w:pStyle w:val="ListBullet"/>
        <w:spacing w:after="40" w:line="252" w:lineRule="auto"/>
        <w:jc w:val="both"/>
      </w:pPr>
      <w:r>
        <w:rPr>
          <w:b w:val="0"/>
        </w:rPr>
        <w:t>Use the language model for what it is good at, reading natural language into structure, and verify or replace it with code wherever the answer is computable (geometry, counting, safety lists).</w:t>
      </w:r>
    </w:p>
    <w:p>
      <w:pPr>
        <w:pStyle w:val="ListBullet"/>
        <w:spacing w:after="40" w:line="252" w:lineRule="auto"/>
        <w:jc w:val="both"/>
      </w:pPr>
      <w:r>
        <w:rPr>
          <w:b w:val="0"/>
        </w:rPr>
        <w:t>Measure the model in isolation. The geometry experiment on fixed, correct scene graphs separated Apertus's errors from vision errors and made the design decision clear.</w:t>
      </w:r>
    </w:p>
    <w:p>
      <w:pPr>
        <w:pStyle w:val="ListBullet"/>
        <w:spacing w:after="40" w:line="252" w:lineRule="auto"/>
        <w:jc w:val="both"/>
      </w:pPr>
      <w:r>
        <w:rPr>
          <w:b w:val="0"/>
        </w:rPr>
        <w:t>Next: let Apertus see geometry as structured facts and cross-check it against the code's answer; try a larger or fine-tuned Apertus to reduce rule patches; add German, French and Italian instructions with a multilingual safety list; and run the result on the UR5 with grasp-point selection from the object mask.</w:t>
      </w:r>
    </w:p>
    <w:p>
      <w:pPr>
        <w:spacing w:after="80" w:before="0" w:line="252" w:lineRule="auto"/>
      </w:pPr>
      <w:r>
        <w:rPr>
          <w:b w:val="0"/>
          <w:color w:val="595959"/>
          <w:sz w:val="18"/>
        </w:rPr>
        <w:t>Code, data and reproduction steps: see the repository README and technical_report.md (make run starts everything in Docker).</w:t>
      </w:r>
    </w:p>
    <w:sectPr w:rsidR="00FC693F" w:rsidRPr="0006063C" w:rsidSect="00034616">
      <w:pgSz w:w="11906" w:h="16838"/>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