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BUILDING PERMIT APPLICATION</w:t>
      </w:r>
    </w:p>
    <w:p>
      <w:pPr>
        <w:jc w:val="center"/>
      </w:pPr>
      <w:r>
        <w:t>City of Riverside - Department of Building &amp; Safety</w:t>
      </w:r>
    </w:p>
    <w:p/>
    <w:p>
      <w:pPr>
        <w:pStyle w:val="Heading1"/>
      </w:pPr>
      <w:r>
        <w:t>APPLICATION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Application Number:</w:t>
            </w:r>
          </w:p>
        </w:tc>
        <w:tc>
          <w:tcPr>
            <w:tcW w:type="dxa" w:w="4320"/>
          </w:tcPr>
          <w:p>
            <w:r>
              <w:t>BLD-2024-00892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Application Date:</w:t>
            </w:r>
          </w:p>
        </w:tc>
        <w:tc>
          <w:tcPr>
            <w:tcW w:type="dxa" w:w="4320"/>
          </w:tcPr>
          <w:p>
            <w:r>
              <w:t>December 10, 2024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Application Type:</w:t>
            </w:r>
          </w:p>
        </w:tc>
        <w:tc>
          <w:tcPr>
            <w:tcW w:type="dxa" w:w="4320"/>
          </w:tcPr>
          <w:p>
            <w:r>
              <w:t>Residential Renovation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Status: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320"/>
          </w:tcPr>
          <w:p>
            <w:r>
              <w:t>12/20/2024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Permit Fee:</w:t>
            </w:r>
          </w:p>
        </w:tc>
        <w:tc>
          <w:tcPr>
            <w:tcW w:type="dxa" w:w="4320"/>
          </w:tcPr>
          <w:p>
            <w:r>
              <w:t>$1,250.00</w:t>
            </w:r>
          </w:p>
        </w:tc>
      </w:tr>
    </w:tbl>
    <w:p/>
    <w:p>
      <w:pPr>
        <w:pStyle w:val="Heading1"/>
      </w:pPr>
      <w:r>
        <w:t>PROPERTY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Property Address:</w:t>
            </w:r>
          </w:p>
        </w:tc>
        <w:tc>
          <w:tcPr>
            <w:tcW w:type="dxa" w:w="4320"/>
          </w:tcPr>
          <w:p>
            <w:r>
              <w:t>456 Cedar Lane, Riverside, CA 92501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Parcel Number:</w:t>
            </w:r>
          </w:p>
        </w:tc>
        <w:tc>
          <w:tcPr>
            <w:tcW w:type="dxa" w:w="4320"/>
          </w:tcPr>
          <w:p>
            <w:r>
              <w:t>APN 234-567-890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Property Owner:</w:t>
            </w:r>
          </w:p>
        </w:tc>
        <w:tc>
          <w:tcPr>
            <w:tcW w:type="dxa" w:w="4320"/>
          </w:tcPr>
          <w:p>
            <w:r>
              <w:t>David and Maria Santos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Contractor:</w:t>
            </w:r>
          </w:p>
        </w:tc>
        <w:tc>
          <w:tcPr>
            <w:tcW w:type="dxa" w:w="4320"/>
          </w:tcPr>
          <w:p>
            <w:r>
              <w:t>Premier Home Renovations (Lic# 987654)</w:t>
            </w:r>
          </w:p>
        </w:tc>
      </w:tr>
    </w:tbl>
    <w:p/>
    <w:p>
      <w:pPr>
        <w:pStyle w:val="Heading1"/>
      </w:pPr>
      <w:r>
        <w:t>PERMIT VALIDITY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FF9C4"/>
          </w:tcPr>
          <w:p>
            <w:r>
              <w:rPr>
                <w:b/>
              </w:rPr>
              <w:t>Issue Date:</w:t>
            </w:r>
          </w:p>
        </w:tc>
        <w:tc>
          <w:tcPr>
            <w:tcW w:type="dxa" w:w="4320"/>
            <w:shd w:fill="FFF9C4"/>
          </w:tcPr>
          <w:p>
            <w:r>
              <w:t>December 20, 2024</w:t>
            </w:r>
          </w:p>
        </w:tc>
      </w:tr>
      <w:tr>
        <w:tc>
          <w:tcPr>
            <w:tcW w:type="dxa" w:w="4320"/>
            <w:shd w:fill="FFF9C4"/>
          </w:tcPr>
          <w:p>
            <w:r>
              <w:rPr>
                <w:b/>
              </w:rPr>
              <w:t>Expiration Date:</w:t>
            </w:r>
          </w:p>
        </w:tc>
        <w:tc>
          <w:tcPr>
            <w:tcW w:type="dxa" w:w="4320"/>
            <w:shd w:fill="FFF9C4"/>
          </w:tcPr>
          <w:p>
            <w:r>
              <w:t>12/19/2025</w:t>
            </w:r>
          </w:p>
        </w:tc>
      </w:tr>
      <w:tr>
        <w:tc>
          <w:tcPr>
            <w:tcW w:type="dxa" w:w="4320"/>
            <w:shd w:fill="FFF9C4"/>
          </w:tcPr>
          <w:p>
            <w:r>
              <w:rPr>
                <w:b/>
              </w:rPr>
              <w:t>Work Must Begin By:</w:t>
            </w:r>
          </w:p>
        </w:tc>
        <w:tc>
          <w:tcPr>
            <w:tcW w:type="dxa" w:w="4320"/>
            <w:shd w:fill="FFF9C4"/>
          </w:tcPr>
          <w:p>
            <w:r>
              <w:t>March 20, 2025</w:t>
            </w:r>
          </w:p>
        </w:tc>
      </w:tr>
      <w:tr>
        <w:tc>
          <w:tcPr>
            <w:tcW w:type="dxa" w:w="4320"/>
            <w:shd w:fill="FFF9C4"/>
          </w:tcPr>
          <w:p>
            <w:r>
              <w:rPr>
                <w:b/>
              </w:rPr>
              <w:t>Final Inspection By:</w:t>
            </w:r>
          </w:p>
        </w:tc>
        <w:tc>
          <w:tcPr>
            <w:tcW w:type="dxa" w:w="4320"/>
            <w:shd w:fill="FFF9C4"/>
          </w:tcPr>
          <w:p>
            <w:r>
              <w:t>December 19, 2025</w:t>
            </w:r>
          </w:p>
        </w:tc>
      </w:tr>
    </w:tbl>
    <w:p/>
    <w:p>
      <w:pPr>
        <w:pStyle w:val="Heading1"/>
      </w:pPr>
      <w:r>
        <w:t>REQUIRED INSPECTIONS</w:t>
      </w:r>
    </w:p>
    <w:p>
      <w:pPr>
        <w:pStyle w:val="ListNumber"/>
      </w:pPr>
      <w:r>
        <w:t>Foundation - Schedule before pouring concrete</w:t>
      </w:r>
    </w:p>
    <w:p>
      <w:pPr>
        <w:pStyle w:val="ListNumber"/>
      </w:pPr>
      <w:r>
        <w:t>Framing - Schedule after framing complete</w:t>
      </w:r>
    </w:p>
    <w:p>
      <w:pPr>
        <w:pStyle w:val="ListNumber"/>
      </w:pPr>
      <w:r>
        <w:t>Electrical - Schedule before covering walls</w:t>
      </w:r>
    </w:p>
    <w:p>
      <w:pPr>
        <w:pStyle w:val="ListNumber"/>
      </w:pPr>
      <w:r>
        <w:t>Plumbing - Schedule before covering walls</w:t>
      </w:r>
    </w:p>
    <w:p>
      <w:pPr>
        <w:pStyle w:val="ListNumber"/>
      </w:pPr>
      <w:r>
        <w:t>Final - Schedule upon project completion</w:t>
      </w:r>
    </w:p>
    <w:p/>
    <w:p>
      <w:pPr>
        <w:pStyle w:val="Heading1"/>
      </w:pPr>
      <w:r>
        <w:t>IMPORTANT NOTICES</w:t>
      </w:r>
    </w:p>
    <w:p>
      <w:r>
        <w:rPr>
          <w:b/>
        </w:rPr>
        <w:t xml:space="preserve">PERMIT EXPIRES: </w:t>
      </w:r>
      <w:r>
        <w:rPr>
          <w:b/>
          <w:color w:val="B71C1C"/>
        </w:rPr>
        <w:t>December 19, 2025</w:t>
      </w:r>
    </w:p>
    <w:p>
      <w:r>
        <w:t>This permit becomes void if work does not commence within 180 days of issuance (by 06/19/2025) or if work is suspended for 180 consecutive days.</w:t>
      </w:r>
    </w:p>
    <w:p>
      <w:r>
        <w:rPr>
          <w:b w:val="0"/>
        </w:rPr>
        <w:t xml:space="preserve">Extension requests must be submitted before </w:t>
      </w:r>
      <w:r>
        <w:rPr>
          <w:b/>
        </w:rPr>
        <w:t>2025-11-19</w:t>
      </w:r>
      <w:r>
        <w:t xml:space="preserve"> (30 days prior to expiration).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