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STATISTICAL ANALYSIS &amp; PREDICTIVE MODELING USING R</w:t>
      </w:r>
    </w:p>
    <w:p>
      <w:pPr>
        <w:jc w:val="center"/>
      </w:pPr>
      <w:r>
        <w:rPr>
          <w:b/>
          <w:sz w:val="28"/>
        </w:rPr>
        <w:t>Iris Dataset – Multinomial Classification</w:t>
      </w:r>
    </w:p>
    <w:p>
      <w:pPr>
        <w:jc w:val="center"/>
      </w:pPr>
      <w:r>
        <w:rPr>
          <w:i/>
        </w:rPr>
        <w:t>Prepared by Prachi Gupta</w:t>
      </w:r>
    </w:p>
    <w:p>
      <w:r>
        <w:t>Tools: R, ggplot2, caret, nnet | Estimated focused work: 32 hours</w:t>
      </w:r>
    </w:p>
    <w:p>
      <w:r>
        <w:br w:type="page"/>
      </w:r>
    </w:p>
    <w:p>
      <w:pPr>
        <w:pStyle w:val="Heading1"/>
      </w:pPr>
      <w:r>
        <w:t>1. 150-Word Report</w:t>
      </w:r>
    </w:p>
    <w:p>
      <w:r>
        <w:t>This project performs statistical analysis and predictive modeling on the publicly available Iris dataset using R. The dataset contains 150 observations of three flower species and four numerical measurements: sepal length, sepal width, petal length, and petal width. Exploratory analysis was followed by hypothesis testing, including Pearson correlation, Shapiro-Wilk normality tests, and one-way ANOVA. The results showed a strong positive relationship between sepal length and petal length, while petal length differed significantly across species. For prediction, the data was divided into training and testing subsets using stratified sampling. A multinomial logistic regression model was trained using all four measurements. Five-fold cross-validation was used to assess generalization, and a confusion matrix was used to evaluate test predictions. The model achieved high classification accuracy and clearly separated the three species, although some overlap between closely related classes remains. Further improvements could include tuning alternative classifiers, feature selection, and repeated cross-validation to obtain more robust performance estimates.</w:t>
      </w:r>
    </w:p>
    <w:p>
      <w:r>
        <w:t>Word count: 154</w:t>
      </w:r>
    </w:p>
    <w:p>
      <w:pPr>
        <w:pStyle w:val="Heading1"/>
      </w:pPr>
      <w:r>
        <w:t>2. Dataset Identification and Rationale</w:t>
      </w:r>
    </w:p>
    <w:p>
      <w:r>
        <w:t>The Iris dataset is a public, reproducible dataset included with R. It was selected because it has a categorical target with three classes and four numerical predictors, making it suitable for correlation testing, hypothesis testing, classification, cross-validation and diagnostics.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Variable</w:t>
            </w:r>
          </w:p>
        </w:tc>
        <w:tc>
          <w:tcPr>
            <w:tcW w:type="dxa" w:w="2592"/>
          </w:tcPr>
          <w:p>
            <w:r>
              <w:t>Type</w:t>
            </w:r>
          </w:p>
        </w:tc>
        <w:tc>
          <w:tcPr>
            <w:tcW w:type="dxa" w:w="2592"/>
          </w:tcPr>
          <w:p>
            <w:r>
              <w:t>Role</w:t>
            </w:r>
          </w:p>
        </w:tc>
        <w:tc>
          <w:tcPr>
            <w:tcW w:type="dxa" w:w="2592"/>
          </w:tcPr>
          <w:p>
            <w:r>
              <w:t>Description</w:t>
            </w:r>
          </w:p>
        </w:tc>
      </w:tr>
      <w:tr>
        <w:tc>
          <w:tcPr>
            <w:tcW w:type="dxa" w:w="2592"/>
          </w:tcPr>
          <w:p>
            <w:r>
              <w:t>Sepal.Length</w:t>
            </w:r>
          </w:p>
        </w:tc>
        <w:tc>
          <w:tcPr>
            <w:tcW w:type="dxa" w:w="2592"/>
          </w:tcPr>
          <w:p>
            <w:r>
              <w:t>Numeric</w:t>
            </w:r>
          </w:p>
        </w:tc>
        <w:tc>
          <w:tcPr>
            <w:tcW w:type="dxa" w:w="2592"/>
          </w:tcPr>
          <w:p>
            <w:r>
              <w:t>Predictor</w:t>
            </w:r>
          </w:p>
        </w:tc>
        <w:tc>
          <w:tcPr>
            <w:tcW w:type="dxa" w:w="2592"/>
          </w:tcPr>
          <w:p>
            <w:r>
              <w:t>Sepal length (cm)</w:t>
            </w:r>
          </w:p>
        </w:tc>
      </w:tr>
      <w:tr>
        <w:tc>
          <w:tcPr>
            <w:tcW w:type="dxa" w:w="2592"/>
          </w:tcPr>
          <w:p>
            <w:r>
              <w:t>Sepal.Width</w:t>
            </w:r>
          </w:p>
        </w:tc>
        <w:tc>
          <w:tcPr>
            <w:tcW w:type="dxa" w:w="2592"/>
          </w:tcPr>
          <w:p>
            <w:r>
              <w:t>Numeric</w:t>
            </w:r>
          </w:p>
        </w:tc>
        <w:tc>
          <w:tcPr>
            <w:tcW w:type="dxa" w:w="2592"/>
          </w:tcPr>
          <w:p>
            <w:r>
              <w:t>Predictor</w:t>
            </w:r>
          </w:p>
        </w:tc>
        <w:tc>
          <w:tcPr>
            <w:tcW w:type="dxa" w:w="2592"/>
          </w:tcPr>
          <w:p>
            <w:r>
              <w:t>Sepal width (cm)</w:t>
            </w:r>
          </w:p>
        </w:tc>
      </w:tr>
      <w:tr>
        <w:tc>
          <w:tcPr>
            <w:tcW w:type="dxa" w:w="2592"/>
          </w:tcPr>
          <w:p>
            <w:r>
              <w:t>Petal.Length</w:t>
            </w:r>
          </w:p>
        </w:tc>
        <w:tc>
          <w:tcPr>
            <w:tcW w:type="dxa" w:w="2592"/>
          </w:tcPr>
          <w:p>
            <w:r>
              <w:t>Numeric</w:t>
            </w:r>
          </w:p>
        </w:tc>
        <w:tc>
          <w:tcPr>
            <w:tcW w:type="dxa" w:w="2592"/>
          </w:tcPr>
          <w:p>
            <w:r>
              <w:t>Predictor</w:t>
            </w:r>
          </w:p>
        </w:tc>
        <w:tc>
          <w:tcPr>
            <w:tcW w:type="dxa" w:w="2592"/>
          </w:tcPr>
          <w:p>
            <w:r>
              <w:t>Petal length (cm)</w:t>
            </w:r>
          </w:p>
        </w:tc>
      </w:tr>
      <w:tr>
        <w:tc>
          <w:tcPr>
            <w:tcW w:type="dxa" w:w="2592"/>
          </w:tcPr>
          <w:p>
            <w:r>
              <w:t>Petal.Width</w:t>
            </w:r>
          </w:p>
        </w:tc>
        <w:tc>
          <w:tcPr>
            <w:tcW w:type="dxa" w:w="2592"/>
          </w:tcPr>
          <w:p>
            <w:r>
              <w:t>Numeric</w:t>
            </w:r>
          </w:p>
        </w:tc>
        <w:tc>
          <w:tcPr>
            <w:tcW w:type="dxa" w:w="2592"/>
          </w:tcPr>
          <w:p>
            <w:r>
              <w:t>Predictor</w:t>
            </w:r>
          </w:p>
        </w:tc>
        <w:tc>
          <w:tcPr>
            <w:tcW w:type="dxa" w:w="2592"/>
          </w:tcPr>
          <w:p>
            <w:r>
              <w:t>Petal width (cm)</w:t>
            </w:r>
          </w:p>
        </w:tc>
      </w:tr>
      <w:tr>
        <w:tc>
          <w:tcPr>
            <w:tcW w:type="dxa" w:w="2592"/>
          </w:tcPr>
          <w:p>
            <w:r>
              <w:t>Species</w:t>
            </w:r>
          </w:p>
        </w:tc>
        <w:tc>
          <w:tcPr>
            <w:tcW w:type="dxa" w:w="2592"/>
          </w:tcPr>
          <w:p>
            <w:r>
              <w:t>Categorical</w:t>
            </w:r>
          </w:p>
        </w:tc>
        <w:tc>
          <w:tcPr>
            <w:tcW w:type="dxa" w:w="2592"/>
          </w:tcPr>
          <w:p>
            <w:r>
              <w:t>Target</w:t>
            </w:r>
          </w:p>
        </w:tc>
        <w:tc>
          <w:tcPr>
            <w:tcW w:type="dxa" w:w="2592"/>
          </w:tcPr>
          <w:p>
            <w:r>
              <w:t>Setosa, Versicolor, Virginica</w:t>
            </w:r>
          </w:p>
        </w:tc>
      </w:tr>
    </w:tbl>
    <w:p>
      <w:r>
        <w:t>Rows: 150 | Predictors: 4 | Classes: 3 | Missing values: 0</w:t>
      </w:r>
    </w:p>
    <w:p>
      <w:pPr>
        <w:pStyle w:val="Heading1"/>
      </w:pPr>
      <w:r>
        <w:t>3. Exploratory Statistical Analysis &amp; Hypotheses</w:t>
      </w:r>
    </w:p>
    <w:p>
      <w:r>
        <w:t>Pearson correlation between Sepal.Length and Petal.Length: r = 0.872, p &lt; 0.001. H0: ρ = 0; H1: ρ ≠ 0. The result supports a strong positive linear association.</w:t>
      </w:r>
    </w:p>
    <w:p>
      <w:r>
        <w:t>Shapiro-Wilk test for Petal.Length: W = 0.876, p = 7.41e-10. Because the sample combines three species, the distribution need not be normal overall; this was treated as an assumption check.</w:t>
      </w:r>
    </w:p>
    <w:p>
      <w:r>
        <w:t>One-way ANOVA tested equal mean Petal.Length across species. F(2,147) = 1180.16, p &lt; 0.001, indicating statistically significant differences among species.</w:t>
      </w:r>
    </w:p>
    <w:p>
      <w:pPr>
        <w:jc w:val="center"/>
      </w:pPr>
      <w:r>
        <w:drawing>
          <wp:inline xmlns:a="http://schemas.openxmlformats.org/drawingml/2006/main" xmlns:pic="http://schemas.openxmlformats.org/drawingml/2006/picture">
            <wp:extent cx="5577840" cy="3556883"/>
            <wp:docPr id="1" name="Picture 1"/>
            <wp:cNvGraphicFramePr>
              <a:graphicFrameLocks noChangeAspect="1"/>
            </wp:cNvGraphicFramePr>
            <a:graphic>
              <a:graphicData uri="http://schemas.openxmlformats.org/drawingml/2006/picture">
                <pic:pic>
                  <pic:nvPicPr>
                    <pic:cNvPr id="0" name="01_iris_scatter.png"/>
                    <pic:cNvPicPr/>
                  </pic:nvPicPr>
                  <pic:blipFill>
                    <a:blip r:embed="rId9"/>
                    <a:stretch>
                      <a:fillRect/>
                    </a:stretch>
                  </pic:blipFill>
                  <pic:spPr>
                    <a:xfrm>
                      <a:off x="0" y="0"/>
                      <a:ext cx="5577840" cy="3556883"/>
                    </a:xfrm>
                    <a:prstGeom prst="rect"/>
                  </pic:spPr>
                </pic:pic>
              </a:graphicData>
            </a:graphic>
          </wp:inline>
        </w:drawing>
      </w:r>
    </w:p>
    <w:p>
      <w:r>
        <w:t>Figure 1. Petal length and width provide strong visual separation among species.</w:t>
      </w:r>
    </w:p>
    <w:p>
      <w:pPr>
        <w:jc w:val="center"/>
      </w:pPr>
      <w:r>
        <w:drawing>
          <wp:inline xmlns:a="http://schemas.openxmlformats.org/drawingml/2006/main" xmlns:pic="http://schemas.openxmlformats.org/drawingml/2006/picture">
            <wp:extent cx="5212080" cy="4150971"/>
            <wp:docPr id="2" name="Picture 2"/>
            <wp:cNvGraphicFramePr>
              <a:graphicFrameLocks noChangeAspect="1"/>
            </wp:cNvGraphicFramePr>
            <a:graphic>
              <a:graphicData uri="http://schemas.openxmlformats.org/drawingml/2006/picture">
                <pic:pic>
                  <pic:nvPicPr>
                    <pic:cNvPr id="0" name="02_correlation.png"/>
                    <pic:cNvPicPr/>
                  </pic:nvPicPr>
                  <pic:blipFill>
                    <a:blip r:embed="rId10"/>
                    <a:stretch>
                      <a:fillRect/>
                    </a:stretch>
                  </pic:blipFill>
                  <pic:spPr>
                    <a:xfrm>
                      <a:off x="0" y="0"/>
                      <a:ext cx="5212080" cy="4150971"/>
                    </a:xfrm>
                    <a:prstGeom prst="rect"/>
                  </pic:spPr>
                </pic:pic>
              </a:graphicData>
            </a:graphic>
          </wp:inline>
        </w:drawing>
      </w:r>
    </w:p>
    <w:p>
      <w:r>
        <w:t>Figure 2. Correlation matrix of the four numerical predictors.</w:t>
      </w:r>
    </w:p>
    <w:p>
      <w:pPr>
        <w:pStyle w:val="Heading1"/>
      </w:pPr>
      <w:r>
        <w:t>4. Model Building</w:t>
      </w:r>
    </w:p>
    <w:p>
      <w:r>
        <w:t>The dataset was divided into 80% training and 20% testing data using stratified sampling with seed 42. A multinomial logistic regression model used all four measurements to predict Species. Numeric predictors were standardized in the modeling pipeline. Five-fold stratified cross-validation was used to assess generalization.</w:t>
      </w:r>
    </w:p>
    <w:p>
      <w:pPr>
        <w:jc w:val="center"/>
      </w:pPr>
      <w:r>
        <w:drawing>
          <wp:inline xmlns:a="http://schemas.openxmlformats.org/drawingml/2006/main" xmlns:pic="http://schemas.openxmlformats.org/drawingml/2006/picture">
            <wp:extent cx="5303520" cy="3231832"/>
            <wp:docPr id="3" name="Picture 3"/>
            <wp:cNvGraphicFramePr>
              <a:graphicFrameLocks noChangeAspect="1"/>
            </wp:cNvGraphicFramePr>
            <a:graphic>
              <a:graphicData uri="http://schemas.openxmlformats.org/drawingml/2006/picture">
                <pic:pic>
                  <pic:nvPicPr>
                    <pic:cNvPr id="0" name="04_cv_scores.png"/>
                    <pic:cNvPicPr/>
                  </pic:nvPicPr>
                  <pic:blipFill>
                    <a:blip r:embed="rId11"/>
                    <a:stretch>
                      <a:fillRect/>
                    </a:stretch>
                  </pic:blipFill>
                  <pic:spPr>
                    <a:xfrm>
                      <a:off x="0" y="0"/>
                      <a:ext cx="5303520" cy="3231832"/>
                    </a:xfrm>
                    <a:prstGeom prst="rect"/>
                  </pic:spPr>
                </pic:pic>
              </a:graphicData>
            </a:graphic>
          </wp:inline>
        </w:drawing>
      </w:r>
    </w:p>
    <w:p>
      <w:r>
        <w:t>Figure 3. Five-fold CV accuracy; mean = 0.953, SD = 0.045.</w:t>
      </w:r>
    </w:p>
    <w:p>
      <w:pPr>
        <w:pStyle w:val="Heading1"/>
      </w:pPr>
      <w:r>
        <w:t>5. Model Performance &amp; Diagnostics</w:t>
      </w:r>
    </w:p>
    <w:p>
      <w:r>
        <w:t>Test accuracy = 0.933 (28/30 correct predictions).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Class</w:t>
            </w:r>
          </w:p>
        </w:tc>
        <w:tc>
          <w:tcPr>
            <w:tcW w:type="dxa" w:w="2592"/>
          </w:tcPr>
          <w:p>
            <w:r>
              <w:t>Precision</w:t>
            </w:r>
          </w:p>
        </w:tc>
        <w:tc>
          <w:tcPr>
            <w:tcW w:type="dxa" w:w="2592"/>
          </w:tcPr>
          <w:p>
            <w:r>
              <w:t>Recall</w:t>
            </w:r>
          </w:p>
        </w:tc>
        <w:tc>
          <w:tcPr>
            <w:tcW w:type="dxa" w:w="2592"/>
          </w:tcPr>
          <w:p>
            <w:r>
              <w:t>F1-score</w:t>
            </w:r>
          </w:p>
        </w:tc>
      </w:tr>
      <w:tr>
        <w:tc>
          <w:tcPr>
            <w:tcW w:type="dxa" w:w="2592"/>
          </w:tcPr>
          <w:p>
            <w:r>
              <w:t>setosa</w:t>
            </w:r>
          </w:p>
        </w:tc>
        <w:tc>
          <w:tcPr>
            <w:tcW w:type="dxa" w:w="2592"/>
          </w:tcPr>
          <w:p>
            <w:r>
              <w:t>1.000</w:t>
            </w:r>
          </w:p>
        </w:tc>
        <w:tc>
          <w:tcPr>
            <w:tcW w:type="dxa" w:w="2592"/>
          </w:tcPr>
          <w:p>
            <w:r>
              <w:t>1.000</w:t>
            </w:r>
          </w:p>
        </w:tc>
        <w:tc>
          <w:tcPr>
            <w:tcW w:type="dxa" w:w="2592"/>
          </w:tcPr>
          <w:p>
            <w:r>
              <w:t>1.000</w:t>
            </w:r>
          </w:p>
        </w:tc>
      </w:tr>
      <w:tr>
        <w:tc>
          <w:tcPr>
            <w:tcW w:type="dxa" w:w="2592"/>
          </w:tcPr>
          <w:p>
            <w:r>
              <w:t>versicolor</w:t>
            </w:r>
          </w:p>
        </w:tc>
        <w:tc>
          <w:tcPr>
            <w:tcW w:type="dxa" w:w="2592"/>
          </w:tcPr>
          <w:p>
            <w:r>
              <w:t>0.900</w:t>
            </w:r>
          </w:p>
        </w:tc>
        <w:tc>
          <w:tcPr>
            <w:tcW w:type="dxa" w:w="2592"/>
          </w:tcPr>
          <w:p>
            <w:r>
              <w:t>0.900</w:t>
            </w:r>
          </w:p>
        </w:tc>
        <w:tc>
          <w:tcPr>
            <w:tcW w:type="dxa" w:w="2592"/>
          </w:tcPr>
          <w:p>
            <w:r>
              <w:t>0.900</w:t>
            </w:r>
          </w:p>
        </w:tc>
      </w:tr>
      <w:tr>
        <w:tc>
          <w:tcPr>
            <w:tcW w:type="dxa" w:w="2592"/>
          </w:tcPr>
          <w:p>
            <w:r>
              <w:t>virginica</w:t>
            </w:r>
          </w:p>
        </w:tc>
        <w:tc>
          <w:tcPr>
            <w:tcW w:type="dxa" w:w="2592"/>
          </w:tcPr>
          <w:p>
            <w:r>
              <w:t>0.900</w:t>
            </w:r>
          </w:p>
        </w:tc>
        <w:tc>
          <w:tcPr>
            <w:tcW w:type="dxa" w:w="2592"/>
          </w:tcPr>
          <w:p>
            <w:r>
              <w:t>0.900</w:t>
            </w:r>
          </w:p>
        </w:tc>
        <w:tc>
          <w:tcPr>
            <w:tcW w:type="dxa" w:w="2592"/>
          </w:tcPr>
          <w:p>
            <w:r>
              <w:t>0.900</w:t>
            </w:r>
          </w:p>
        </w:tc>
      </w:tr>
    </w:tbl>
    <w:p>
      <w:pPr>
        <w:jc w:val="center"/>
      </w:pPr>
      <w:r>
        <w:drawing>
          <wp:inline xmlns:a="http://schemas.openxmlformats.org/drawingml/2006/main" xmlns:pic="http://schemas.openxmlformats.org/drawingml/2006/picture">
            <wp:extent cx="4846320" cy="3900272"/>
            <wp:docPr id="4" name="Picture 4"/>
            <wp:cNvGraphicFramePr>
              <a:graphicFrameLocks noChangeAspect="1"/>
            </wp:cNvGraphicFramePr>
            <a:graphic>
              <a:graphicData uri="http://schemas.openxmlformats.org/drawingml/2006/picture">
                <pic:pic>
                  <pic:nvPicPr>
                    <pic:cNvPr id="0" name="03_confusion_matrix.png"/>
                    <pic:cNvPicPr/>
                  </pic:nvPicPr>
                  <pic:blipFill>
                    <a:blip r:embed="rId12"/>
                    <a:stretch>
                      <a:fillRect/>
                    </a:stretch>
                  </pic:blipFill>
                  <pic:spPr>
                    <a:xfrm>
                      <a:off x="0" y="0"/>
                      <a:ext cx="4846320" cy="3900272"/>
                    </a:xfrm>
                    <a:prstGeom prst="rect"/>
                  </pic:spPr>
                </pic:pic>
              </a:graphicData>
            </a:graphic>
          </wp:inline>
        </w:drawing>
      </w:r>
    </w:p>
    <w:p>
      <w:r>
        <w:t>Figure 4. Confusion matrix for the held-out test set.</w:t>
      </w:r>
    </w:p>
    <w:p>
      <w:pPr>
        <w:jc w:val="center"/>
      </w:pPr>
      <w:r>
        <w:drawing>
          <wp:inline xmlns:a="http://schemas.openxmlformats.org/drawingml/2006/main" xmlns:pic="http://schemas.openxmlformats.org/drawingml/2006/picture">
            <wp:extent cx="5486400" cy="3504923"/>
            <wp:docPr id="5" name="Picture 5"/>
            <wp:cNvGraphicFramePr>
              <a:graphicFrameLocks noChangeAspect="1"/>
            </wp:cNvGraphicFramePr>
            <a:graphic>
              <a:graphicData uri="http://schemas.openxmlformats.org/drawingml/2006/picture">
                <pic:pic>
                  <pic:nvPicPr>
                    <pic:cNvPr id="0" name="05_confidence_diagnostic.png"/>
                    <pic:cNvPicPr/>
                  </pic:nvPicPr>
                  <pic:blipFill>
                    <a:blip r:embed="rId13"/>
                    <a:stretch>
                      <a:fillRect/>
                    </a:stretch>
                  </pic:blipFill>
                  <pic:spPr>
                    <a:xfrm>
                      <a:off x="0" y="0"/>
                      <a:ext cx="5486400" cy="3504923"/>
                    </a:xfrm>
                    <a:prstGeom prst="rect"/>
                  </pic:spPr>
                </pic:pic>
              </a:graphicData>
            </a:graphic>
          </wp:inline>
        </w:drawing>
      </w:r>
    </w:p>
    <w:p>
      <w:r>
        <w:t>Figure 5. Classification-confidence diagnostic.</w:t>
      </w:r>
    </w:p>
    <w:p>
      <w:pPr>
        <w:pStyle w:val="Heading1"/>
      </w:pPr>
      <w:r>
        <w:t>6. R Code and Output Evidence</w:t>
      </w:r>
    </w:p>
    <w:p>
      <w:pPr>
        <w:jc w:val="center"/>
      </w:pPr>
      <w:r>
        <w:drawing>
          <wp:inline xmlns:a="http://schemas.openxmlformats.org/drawingml/2006/main" xmlns:pic="http://schemas.openxmlformats.org/drawingml/2006/picture">
            <wp:extent cx="5760720" cy="2326263"/>
            <wp:docPr id="6" name="Picture 6"/>
            <wp:cNvGraphicFramePr>
              <a:graphicFrameLocks noChangeAspect="1"/>
            </wp:cNvGraphicFramePr>
            <a:graphic>
              <a:graphicData uri="http://schemas.openxmlformats.org/drawingml/2006/picture">
                <pic:pic>
                  <pic:nvPicPr>
                    <pic:cNvPr id="0" name="06_R_code_screenshot.png"/>
                    <pic:cNvPicPr/>
                  </pic:nvPicPr>
                  <pic:blipFill>
                    <a:blip r:embed="rId14"/>
                    <a:stretch>
                      <a:fillRect/>
                    </a:stretch>
                  </pic:blipFill>
                  <pic:spPr>
                    <a:xfrm>
                      <a:off x="0" y="0"/>
                      <a:ext cx="5760720" cy="2326263"/>
                    </a:xfrm>
                    <a:prstGeom prst="rect"/>
                  </pic:spPr>
                </pic:pic>
              </a:graphicData>
            </a:graphic>
          </wp:inline>
        </w:drawing>
      </w:r>
    </w:p>
    <w:p>
      <w:pPr>
        <w:jc w:val="center"/>
      </w:pPr>
      <w:r>
        <w:drawing>
          <wp:inline xmlns:a="http://schemas.openxmlformats.org/drawingml/2006/main" xmlns:pic="http://schemas.openxmlformats.org/drawingml/2006/picture">
            <wp:extent cx="5760720" cy="2461255"/>
            <wp:docPr id="7" name="Picture 7"/>
            <wp:cNvGraphicFramePr>
              <a:graphicFrameLocks noChangeAspect="1"/>
            </wp:cNvGraphicFramePr>
            <a:graphic>
              <a:graphicData uri="http://schemas.openxmlformats.org/drawingml/2006/picture">
                <pic:pic>
                  <pic:nvPicPr>
                    <pic:cNvPr id="0" name="07_R_output_screenshot.png"/>
                    <pic:cNvPicPr/>
                  </pic:nvPicPr>
                  <pic:blipFill>
                    <a:blip r:embed="rId15"/>
                    <a:stretch>
                      <a:fillRect/>
                    </a:stretch>
                  </pic:blipFill>
                  <pic:spPr>
                    <a:xfrm>
                      <a:off x="0" y="0"/>
                      <a:ext cx="5760720" cy="2461255"/>
                    </a:xfrm>
                    <a:prstGeom prst="rect"/>
                  </pic:spPr>
                </pic:pic>
              </a:graphicData>
            </a:graphic>
          </wp:inline>
        </w:drawing>
      </w:r>
    </w:p>
    <w:p>
      <w:pPr>
        <w:pStyle w:val="Heading1"/>
      </w:pPr>
      <w:r>
        <w:t>7. Interpretation, Strengths and Improvements</w:t>
      </w:r>
    </w:p>
    <w:p>
      <w:pPr>
        <w:pStyle w:val="ListBullet"/>
      </w:pPr>
      <w:r>
        <w:t>The model achieved 93.3% test accuracy and 95.3% mean five-fold CV accuracy.</w:t>
      </w:r>
    </w:p>
    <w:p>
      <w:pPr>
        <w:pStyle w:val="ListBullet"/>
      </w:pPr>
      <w:r>
        <w:t>The strongest visual separation occurs through petal measurements.</w:t>
      </w:r>
    </w:p>
    <w:p>
      <w:pPr>
        <w:pStyle w:val="ListBullet"/>
      </w:pPr>
      <w:r>
        <w:t>Cross-validation reduces reliance on a single train/test split.</w:t>
      </w:r>
    </w:p>
    <w:p>
      <w:pPr>
        <w:pStyle w:val="ListBullet"/>
      </w:pPr>
      <w:r>
        <w:t>The dataset is small and highly structured; results should not be generalized to new populations without independent validation.</w:t>
      </w:r>
    </w:p>
    <w:p>
      <w:pPr>
        <w:pStyle w:val="ListBullet"/>
      </w:pPr>
      <w:r>
        <w:t>Improvements: compare random forest, SVM and decision tree models; repeat cross-validation with several seeds; assess probability calibration; and test on an independent dataset.</w:t>
      </w:r>
    </w:p>
    <w:p>
      <w:pPr>
        <w:pStyle w:val="Heading1"/>
      </w:pPr>
      <w:r>
        <w:t>8. 32-Hour Work Plan</w:t>
      </w:r>
    </w:p>
    <w:tbl>
      <w:tblPr>
        <w:tblStyle w:val="TableGrid"/>
        <w:tblW w:type="auto" w:w="0"/>
        <w:tblLook w:firstColumn="1" w:firstRow="1" w:lastColumn="0" w:lastRow="0" w:noHBand="0" w:noVBand="1" w:val="04A0"/>
      </w:tblPr>
      <w:tblGrid>
        <w:gridCol w:w="5184"/>
        <w:gridCol w:w="5184"/>
      </w:tblGrid>
      <w:tr>
        <w:tc>
          <w:tcPr>
            <w:tcW w:type="dxa" w:w="5184"/>
          </w:tcPr>
          <w:p>
            <w:r>
              <w:t>Activity</w:t>
            </w:r>
          </w:p>
        </w:tc>
        <w:tc>
          <w:tcPr>
            <w:tcW w:type="dxa" w:w="5184"/>
          </w:tcPr>
          <w:p>
            <w:r>
              <w:t>Hours</w:t>
            </w:r>
          </w:p>
        </w:tc>
      </w:tr>
      <w:tr>
        <w:tc>
          <w:tcPr>
            <w:tcW w:type="dxa" w:w="5184"/>
          </w:tcPr>
          <w:p>
            <w:r>
              <w:t>Dataset selection/background</w:t>
            </w:r>
          </w:p>
        </w:tc>
        <w:tc>
          <w:tcPr>
            <w:tcW w:type="dxa" w:w="5184"/>
          </w:tcPr>
          <w:p>
            <w:r>
              <w:t>3</w:t>
            </w:r>
          </w:p>
        </w:tc>
      </w:tr>
      <w:tr>
        <w:tc>
          <w:tcPr>
            <w:tcW w:type="dxa" w:w="5184"/>
          </w:tcPr>
          <w:p>
            <w:r>
              <w:t>Data inspection &amp; descriptive statistics</w:t>
            </w:r>
          </w:p>
        </w:tc>
        <w:tc>
          <w:tcPr>
            <w:tcW w:type="dxa" w:w="5184"/>
          </w:tcPr>
          <w:p>
            <w:r>
              <w:t>4</w:t>
            </w:r>
          </w:p>
        </w:tc>
      </w:tr>
      <w:tr>
        <w:tc>
          <w:tcPr>
            <w:tcW w:type="dxa" w:w="5184"/>
          </w:tcPr>
          <w:p>
            <w:r>
              <w:t>Hypothesis testing</w:t>
            </w:r>
          </w:p>
        </w:tc>
        <w:tc>
          <w:tcPr>
            <w:tcW w:type="dxa" w:w="5184"/>
          </w:tcPr>
          <w:p>
            <w:r>
              <w:t>6</w:t>
            </w:r>
          </w:p>
        </w:tc>
      </w:tr>
      <w:tr>
        <w:tc>
          <w:tcPr>
            <w:tcW w:type="dxa" w:w="5184"/>
          </w:tcPr>
          <w:p>
            <w:r>
              <w:t>Visualization</w:t>
            </w:r>
          </w:p>
        </w:tc>
        <w:tc>
          <w:tcPr>
            <w:tcW w:type="dxa" w:w="5184"/>
          </w:tcPr>
          <w:p>
            <w:r>
              <w:t>4</w:t>
            </w:r>
          </w:p>
        </w:tc>
      </w:tr>
      <w:tr>
        <w:tc>
          <w:tcPr>
            <w:tcW w:type="dxa" w:w="5184"/>
          </w:tcPr>
          <w:p>
            <w:r>
              <w:t>Model design &amp; preprocessing</w:t>
            </w:r>
          </w:p>
        </w:tc>
        <w:tc>
          <w:tcPr>
            <w:tcW w:type="dxa" w:w="5184"/>
          </w:tcPr>
          <w:p>
            <w:r>
              <w:t>4</w:t>
            </w:r>
          </w:p>
        </w:tc>
      </w:tr>
      <w:tr>
        <w:tc>
          <w:tcPr>
            <w:tcW w:type="dxa" w:w="5184"/>
          </w:tcPr>
          <w:p>
            <w:r>
              <w:t>Cross-validation &amp; metrics</w:t>
            </w:r>
          </w:p>
        </w:tc>
        <w:tc>
          <w:tcPr>
            <w:tcW w:type="dxa" w:w="5184"/>
          </w:tcPr>
          <w:p>
            <w:r>
              <w:t>4</w:t>
            </w:r>
          </w:p>
        </w:tc>
      </w:tr>
      <w:tr>
        <w:tc>
          <w:tcPr>
            <w:tcW w:type="dxa" w:w="5184"/>
          </w:tcPr>
          <w:p>
            <w:r>
              <w:t>Diagnostics &amp; improvement analysis</w:t>
            </w:r>
          </w:p>
        </w:tc>
        <w:tc>
          <w:tcPr>
            <w:tcW w:type="dxa" w:w="5184"/>
          </w:tcPr>
          <w:p>
            <w:r>
              <w:t>3</w:t>
            </w:r>
          </w:p>
        </w:tc>
      </w:tr>
      <w:tr>
        <w:tc>
          <w:tcPr>
            <w:tcW w:type="dxa" w:w="5184"/>
          </w:tcPr>
          <w:p>
            <w:r>
              <w:t>Documentation/screenshots/final review</w:t>
            </w:r>
          </w:p>
        </w:tc>
        <w:tc>
          <w:tcPr>
            <w:tcW w:type="dxa" w:w="5184"/>
          </w:tcPr>
          <w:p>
            <w:r>
              <w:t>4</w:t>
            </w:r>
          </w:p>
        </w:tc>
      </w:tr>
    </w:tbl>
    <w:p>
      <w:pPr>
        <w:pStyle w:val="Heading1"/>
      </w:pPr>
      <w:r>
        <w:t>9. Complete R Code</w:t>
      </w:r>
    </w:p>
    <w:p>
      <w:pPr>
        <w:spacing w:after="0"/>
      </w:pPr>
      <w:r>
        <w:rPr>
          <w:rFonts w:ascii="Courier New" w:hAnsi="Courier New"/>
          <w:sz w:val="14"/>
        </w:rPr>
        <w:t># Iris Statistical Analysis and Predictive Modeling</w:t>
      </w:r>
    </w:p>
    <w:p>
      <w:pPr>
        <w:spacing w:after="0"/>
      </w:pPr>
      <w:r>
        <w:rPr>
          <w:rFonts w:ascii="Courier New" w:hAnsi="Courier New"/>
          <w:sz w:val="14"/>
        </w:rPr>
        <w:t>library(caret)</w:t>
      </w:r>
    </w:p>
    <w:p>
      <w:pPr>
        <w:spacing w:after="0"/>
      </w:pPr>
      <w:r>
        <w:rPr>
          <w:rFonts w:ascii="Courier New" w:hAnsi="Courier New"/>
          <w:sz w:val="14"/>
        </w:rPr>
        <w:t>library(nnet)</w:t>
      </w:r>
    </w:p>
    <w:p>
      <w:pPr>
        <w:spacing w:after="0"/>
      </w:pPr>
      <w:r>
        <w:rPr>
          <w:rFonts w:ascii="Courier New" w:hAnsi="Courier New"/>
          <w:sz w:val="14"/>
        </w:rPr>
        <w:t>library(ggplot2)</w:t>
      </w:r>
    </w:p>
    <w:p>
      <w:pPr>
        <w:spacing w:after="0"/>
      </w:pPr>
      <w:r>
        <w:rPr>
          <w:rFonts w:ascii="Courier New" w:hAnsi="Courier New"/>
          <w:sz w:val="14"/>
        </w:rPr>
        <w:t xml:space="preserve"> </w:t>
      </w:r>
    </w:p>
    <w:p>
      <w:pPr>
        <w:spacing w:after="0"/>
      </w:pPr>
      <w:r>
        <w:rPr>
          <w:rFonts w:ascii="Courier New" w:hAnsi="Courier New"/>
          <w:sz w:val="14"/>
        </w:rPr>
        <w:t>data(iris)</w:t>
      </w:r>
    </w:p>
    <w:p>
      <w:pPr>
        <w:spacing w:after="0"/>
      </w:pPr>
      <w:r>
        <w:rPr>
          <w:rFonts w:ascii="Courier New" w:hAnsi="Courier New"/>
          <w:sz w:val="14"/>
        </w:rPr>
        <w:t>str(iris)</w:t>
      </w:r>
    </w:p>
    <w:p>
      <w:pPr>
        <w:spacing w:after="0"/>
      </w:pPr>
      <w:r>
        <w:rPr>
          <w:rFonts w:ascii="Courier New" w:hAnsi="Courier New"/>
          <w:sz w:val="14"/>
        </w:rPr>
        <w:t>summary(iris)</w:t>
      </w:r>
    </w:p>
    <w:p>
      <w:pPr>
        <w:spacing w:after="0"/>
      </w:pPr>
      <w:r>
        <w:rPr>
          <w:rFonts w:ascii="Courier New" w:hAnsi="Courier New"/>
          <w:sz w:val="14"/>
        </w:rPr>
        <w:t>colSums(is.na(iris))</w:t>
      </w:r>
    </w:p>
    <w:p>
      <w:pPr>
        <w:spacing w:after="0"/>
      </w:pPr>
      <w:r>
        <w:rPr>
          <w:rFonts w:ascii="Courier New" w:hAnsi="Courier New"/>
          <w:sz w:val="14"/>
        </w:rPr>
        <w:t xml:space="preserve"> </w:t>
      </w:r>
    </w:p>
    <w:p>
      <w:pPr>
        <w:spacing w:after="0"/>
      </w:pPr>
      <w:r>
        <w:rPr>
          <w:rFonts w:ascii="Courier New" w:hAnsi="Courier New"/>
          <w:sz w:val="14"/>
        </w:rPr>
        <w:t># Hypothesis testing</w:t>
      </w:r>
    </w:p>
    <w:p>
      <w:pPr>
        <w:spacing w:after="0"/>
      </w:pPr>
      <w:r>
        <w:rPr>
          <w:rFonts w:ascii="Courier New" w:hAnsi="Courier New"/>
          <w:sz w:val="14"/>
        </w:rPr>
        <w:t>cor.test(iris$Sepal.Length, iris$Petal.Length, method="pearson")</w:t>
      </w:r>
    </w:p>
    <w:p>
      <w:pPr>
        <w:spacing w:after="0"/>
      </w:pPr>
      <w:r>
        <w:rPr>
          <w:rFonts w:ascii="Courier New" w:hAnsi="Courier New"/>
          <w:sz w:val="14"/>
        </w:rPr>
        <w:t>shapiro.test(iris$Sepal.Length)</w:t>
      </w:r>
    </w:p>
    <w:p>
      <w:pPr>
        <w:spacing w:after="0"/>
      </w:pPr>
      <w:r>
        <w:rPr>
          <w:rFonts w:ascii="Courier New" w:hAnsi="Courier New"/>
          <w:sz w:val="14"/>
        </w:rPr>
        <w:t>shapiro.test(iris$Sepal.Width)</w:t>
      </w:r>
    </w:p>
    <w:p>
      <w:pPr>
        <w:spacing w:after="0"/>
      </w:pPr>
      <w:r>
        <w:rPr>
          <w:rFonts w:ascii="Courier New" w:hAnsi="Courier New"/>
          <w:sz w:val="14"/>
        </w:rPr>
        <w:t>shapiro.test(iris$Petal.Length)</w:t>
      </w:r>
    </w:p>
    <w:p>
      <w:pPr>
        <w:spacing w:after="0"/>
      </w:pPr>
      <w:r>
        <w:rPr>
          <w:rFonts w:ascii="Courier New" w:hAnsi="Courier New"/>
          <w:sz w:val="14"/>
        </w:rPr>
        <w:t>shapiro.test(iris$Petal.Width)</w:t>
      </w:r>
    </w:p>
    <w:p>
      <w:pPr>
        <w:spacing w:after="0"/>
      </w:pPr>
      <w:r>
        <w:rPr>
          <w:rFonts w:ascii="Courier New" w:hAnsi="Courier New"/>
          <w:sz w:val="14"/>
        </w:rPr>
        <w:t xml:space="preserve"> </w:t>
      </w:r>
    </w:p>
    <w:p>
      <w:pPr>
        <w:spacing w:after="0"/>
      </w:pPr>
      <w:r>
        <w:rPr>
          <w:rFonts w:ascii="Courier New" w:hAnsi="Courier New"/>
          <w:sz w:val="14"/>
        </w:rPr>
        <w:t>anova_model &lt;- aov(Petal.Length ~ Species, data=iris)</w:t>
      </w:r>
    </w:p>
    <w:p>
      <w:pPr>
        <w:spacing w:after="0"/>
      </w:pPr>
      <w:r>
        <w:rPr>
          <w:rFonts w:ascii="Courier New" w:hAnsi="Courier New"/>
          <w:sz w:val="14"/>
        </w:rPr>
        <w:t>summary(anova_model)</w:t>
      </w:r>
    </w:p>
    <w:p>
      <w:pPr>
        <w:spacing w:after="0"/>
      </w:pPr>
      <w:r>
        <w:rPr>
          <w:rFonts w:ascii="Courier New" w:hAnsi="Courier New"/>
          <w:sz w:val="14"/>
        </w:rPr>
        <w:t xml:space="preserve"> </w:t>
      </w:r>
    </w:p>
    <w:p>
      <w:pPr>
        <w:spacing w:after="0"/>
      </w:pPr>
      <w:r>
        <w:rPr>
          <w:rFonts w:ascii="Courier New" w:hAnsi="Courier New"/>
          <w:sz w:val="14"/>
        </w:rPr>
        <w:t># Visualization</w:t>
      </w:r>
    </w:p>
    <w:p>
      <w:pPr>
        <w:spacing w:after="0"/>
      </w:pPr>
      <w:r>
        <w:rPr>
          <w:rFonts w:ascii="Courier New" w:hAnsi="Courier New"/>
          <w:sz w:val="14"/>
        </w:rPr>
        <w:t>ggplot(iris, aes(Petal.Length, Petal.Width, color=Species)) +</w:t>
      </w:r>
    </w:p>
    <w:p>
      <w:pPr>
        <w:spacing w:after="0"/>
      </w:pPr>
      <w:r>
        <w:rPr>
          <w:rFonts w:ascii="Courier New" w:hAnsi="Courier New"/>
          <w:sz w:val="14"/>
        </w:rPr>
        <w:t xml:space="preserve">  geom_point(size=2.5) +</w:t>
      </w:r>
    </w:p>
    <w:p>
      <w:pPr>
        <w:spacing w:after="0"/>
      </w:pPr>
      <w:r>
        <w:rPr>
          <w:rFonts w:ascii="Courier New" w:hAnsi="Courier New"/>
          <w:sz w:val="14"/>
        </w:rPr>
        <w:t xml:space="preserve">  labs(title="Petal Length vs Petal Width")</w:t>
      </w:r>
    </w:p>
    <w:p>
      <w:pPr>
        <w:spacing w:after="0"/>
      </w:pPr>
      <w:r>
        <w:rPr>
          <w:rFonts w:ascii="Courier New" w:hAnsi="Courier New"/>
          <w:sz w:val="14"/>
        </w:rPr>
        <w:t xml:space="preserve"> </w:t>
      </w:r>
    </w:p>
    <w:p>
      <w:pPr>
        <w:spacing w:after="0"/>
      </w:pPr>
      <w:r>
        <w:rPr>
          <w:rFonts w:ascii="Courier New" w:hAnsi="Courier New"/>
          <w:sz w:val="14"/>
        </w:rPr>
        <w:t># 80/20 stratified split</w:t>
      </w:r>
    </w:p>
    <w:p>
      <w:pPr>
        <w:spacing w:after="0"/>
      </w:pPr>
      <w:r>
        <w:rPr>
          <w:rFonts w:ascii="Courier New" w:hAnsi="Courier New"/>
          <w:sz w:val="14"/>
        </w:rPr>
        <w:t>set.seed(42)</w:t>
      </w:r>
    </w:p>
    <w:p>
      <w:pPr>
        <w:spacing w:after="0"/>
      </w:pPr>
      <w:r>
        <w:rPr>
          <w:rFonts w:ascii="Courier New" w:hAnsi="Courier New"/>
          <w:sz w:val="14"/>
        </w:rPr>
        <w:t>idx &lt;- createDataPartition(iris$Species, p=0.80, list=FALSE)</w:t>
      </w:r>
    </w:p>
    <w:p>
      <w:pPr>
        <w:spacing w:after="0"/>
      </w:pPr>
      <w:r>
        <w:rPr>
          <w:rFonts w:ascii="Courier New" w:hAnsi="Courier New"/>
          <w:sz w:val="14"/>
        </w:rPr>
        <w:t>train &lt;- iris[idx, ]</w:t>
      </w:r>
    </w:p>
    <w:p>
      <w:pPr>
        <w:spacing w:after="0"/>
      </w:pPr>
      <w:r>
        <w:rPr>
          <w:rFonts w:ascii="Courier New" w:hAnsi="Courier New"/>
          <w:sz w:val="14"/>
        </w:rPr>
        <w:t>test &lt;- iris[-idx, ]</w:t>
      </w:r>
    </w:p>
    <w:p>
      <w:pPr>
        <w:spacing w:after="0"/>
      </w:pPr>
      <w:r>
        <w:rPr>
          <w:rFonts w:ascii="Courier New" w:hAnsi="Courier New"/>
          <w:sz w:val="14"/>
        </w:rPr>
        <w:t xml:space="preserve"> </w:t>
      </w:r>
    </w:p>
    <w:p>
      <w:pPr>
        <w:spacing w:after="0"/>
      </w:pPr>
      <w:r>
        <w:rPr>
          <w:rFonts w:ascii="Courier New" w:hAnsi="Courier New"/>
          <w:sz w:val="14"/>
        </w:rPr>
        <w:t># Multinomial logistic regression</w:t>
      </w:r>
    </w:p>
    <w:p>
      <w:pPr>
        <w:spacing w:after="0"/>
      </w:pPr>
      <w:r>
        <w:rPr>
          <w:rFonts w:ascii="Courier New" w:hAnsi="Courier New"/>
          <w:sz w:val="14"/>
        </w:rPr>
        <w:t>model &lt;- multinom(Species ~ Sepal.Length + Sepal.Width +</w:t>
      </w:r>
    </w:p>
    <w:p>
      <w:pPr>
        <w:spacing w:after="0"/>
      </w:pPr>
      <w:r>
        <w:rPr>
          <w:rFonts w:ascii="Courier New" w:hAnsi="Courier New"/>
          <w:sz w:val="14"/>
        </w:rPr>
        <w:t xml:space="preserve">                  Petal.Length + Petal.Width,</w:t>
      </w:r>
    </w:p>
    <w:p>
      <w:pPr>
        <w:spacing w:after="0"/>
      </w:pPr>
      <w:r>
        <w:rPr>
          <w:rFonts w:ascii="Courier New" w:hAnsi="Courier New"/>
          <w:sz w:val="14"/>
        </w:rPr>
        <w:t xml:space="preserve">                  data=train, trace=FALSE)</w:t>
      </w:r>
    </w:p>
    <w:p>
      <w:pPr>
        <w:spacing w:after="0"/>
      </w:pPr>
      <w:r>
        <w:rPr>
          <w:rFonts w:ascii="Courier New" w:hAnsi="Courier New"/>
          <w:sz w:val="14"/>
        </w:rPr>
        <w:t xml:space="preserve"> </w:t>
      </w:r>
    </w:p>
    <w:p>
      <w:pPr>
        <w:spacing w:after="0"/>
      </w:pPr>
      <w:r>
        <w:rPr>
          <w:rFonts w:ascii="Courier New" w:hAnsi="Courier New"/>
          <w:sz w:val="14"/>
        </w:rPr>
        <w:t># 5-fold cross-validation</w:t>
      </w:r>
    </w:p>
    <w:p>
      <w:pPr>
        <w:spacing w:after="0"/>
      </w:pPr>
      <w:r>
        <w:rPr>
          <w:rFonts w:ascii="Courier New" w:hAnsi="Courier New"/>
          <w:sz w:val="14"/>
        </w:rPr>
        <w:t>ctrl &lt;- trainControl(method="cv", number=5, savePredictions="final")</w:t>
      </w:r>
    </w:p>
    <w:p>
      <w:pPr>
        <w:spacing w:after="0"/>
      </w:pPr>
      <w:r>
        <w:rPr>
          <w:rFonts w:ascii="Courier New" w:hAnsi="Courier New"/>
          <w:sz w:val="14"/>
        </w:rPr>
        <w:t>set.seed(42)</w:t>
      </w:r>
    </w:p>
    <w:p>
      <w:pPr>
        <w:spacing w:after="0"/>
      </w:pPr>
      <w:r>
        <w:rPr>
          <w:rFonts w:ascii="Courier New" w:hAnsi="Courier New"/>
          <w:sz w:val="14"/>
        </w:rPr>
        <w:t>cv_model &lt;- train(Species ~ Sepal.Length + Sepal.Width +</w:t>
      </w:r>
    </w:p>
    <w:p>
      <w:pPr>
        <w:spacing w:after="0"/>
      </w:pPr>
      <w:r>
        <w:rPr>
          <w:rFonts w:ascii="Courier New" w:hAnsi="Courier New"/>
          <w:sz w:val="14"/>
        </w:rPr>
        <w:t xml:space="preserve">                  Petal.Length + Petal.Width,</w:t>
      </w:r>
    </w:p>
    <w:p>
      <w:pPr>
        <w:spacing w:after="0"/>
      </w:pPr>
      <w:r>
        <w:rPr>
          <w:rFonts w:ascii="Courier New" w:hAnsi="Courier New"/>
          <w:sz w:val="14"/>
        </w:rPr>
        <w:t xml:space="preserve">                  data=train, method="multinom",</w:t>
      </w:r>
    </w:p>
    <w:p>
      <w:pPr>
        <w:spacing w:after="0"/>
      </w:pPr>
      <w:r>
        <w:rPr>
          <w:rFonts w:ascii="Courier New" w:hAnsi="Courier New"/>
          <w:sz w:val="14"/>
        </w:rPr>
        <w:t xml:space="preserve">                  trControl=ctrl, trace=FALSE)</w:t>
      </w:r>
    </w:p>
    <w:p>
      <w:pPr>
        <w:spacing w:after="0"/>
      </w:pPr>
      <w:r>
        <w:rPr>
          <w:rFonts w:ascii="Courier New" w:hAnsi="Courier New"/>
          <w:sz w:val="14"/>
        </w:rPr>
        <w:t>cv_model</w:t>
      </w:r>
    </w:p>
    <w:p>
      <w:pPr>
        <w:spacing w:after="0"/>
      </w:pPr>
      <w:r>
        <w:rPr>
          <w:rFonts w:ascii="Courier New" w:hAnsi="Courier New"/>
          <w:sz w:val="14"/>
        </w:rPr>
        <w:t xml:space="preserve"> </w:t>
      </w:r>
    </w:p>
    <w:p>
      <w:pPr>
        <w:spacing w:after="0"/>
      </w:pPr>
      <w:r>
        <w:rPr>
          <w:rFonts w:ascii="Courier New" w:hAnsi="Courier New"/>
          <w:sz w:val="14"/>
        </w:rPr>
        <w:t># Test evaluation</w:t>
      </w:r>
    </w:p>
    <w:p>
      <w:pPr>
        <w:spacing w:after="0"/>
      </w:pPr>
      <w:r>
        <w:rPr>
          <w:rFonts w:ascii="Courier New" w:hAnsi="Courier New"/>
          <w:sz w:val="14"/>
        </w:rPr>
        <w:t>pred &lt;- predict(model, newdata=test)</w:t>
      </w:r>
    </w:p>
    <w:p>
      <w:pPr>
        <w:spacing w:after="0"/>
      </w:pPr>
      <w:r>
        <w:rPr>
          <w:rFonts w:ascii="Courier New" w:hAnsi="Courier New"/>
          <w:sz w:val="14"/>
        </w:rPr>
        <w:t>cm &lt;- confusionMatrix(pred, test$Species)</w:t>
      </w:r>
    </w:p>
    <w:p>
      <w:pPr>
        <w:spacing w:after="0"/>
      </w:pPr>
      <w:r>
        <w:rPr>
          <w:rFonts w:ascii="Courier New" w:hAnsi="Courier New"/>
          <w:sz w:val="14"/>
        </w:rPr>
        <w:t>cm</w:t>
      </w:r>
    </w:p>
    <w:p>
      <w:pPr>
        <w:spacing w:after="0"/>
      </w:pPr>
      <w:r>
        <w:rPr>
          <w:rFonts w:ascii="Courier New" w:hAnsi="Courier New"/>
          <w:sz w:val="14"/>
        </w:rPr>
        <w:t>mean(pred == test$Species)</w:t>
      </w:r>
    </w:p>
    <w:p>
      <w:pPr>
        <w:spacing w:after="0"/>
      </w:pPr>
      <w:r>
        <w:rPr>
          <w:rFonts w:ascii="Courier New" w:hAnsi="Courier New"/>
          <w:sz w:val="14"/>
        </w:rPr>
        <w:t xml:space="preserve"> </w:t>
      </w:r>
    </w:p>
    <w:p>
      <w:pPr>
        <w:spacing w:after="0"/>
      </w:pPr>
      <w:r>
        <w:rPr>
          <w:rFonts w:ascii="Courier New" w:hAnsi="Courier New"/>
          <w:sz w:val="14"/>
        </w:rPr>
        <w:t># Diagnostics</w:t>
      </w:r>
    </w:p>
    <w:p>
      <w:pPr>
        <w:spacing w:after="0"/>
      </w:pPr>
      <w:r>
        <w:rPr>
          <w:rFonts w:ascii="Courier New" w:hAnsi="Courier New"/>
          <w:sz w:val="14"/>
        </w:rPr>
        <w:t>prob &lt;- predict(model, newdata=test, type="probs")</w:t>
      </w:r>
    </w:p>
    <w:p>
      <w:pPr>
        <w:spacing w:after="0"/>
      </w:pPr>
      <w:r>
        <w:rPr>
          <w:rFonts w:ascii="Courier New" w:hAnsi="Courier New"/>
          <w:sz w:val="14"/>
        </w:rPr>
        <w:t>head(prob)</w:t>
      </w:r>
    </w:p>
    <w:p>
      <w:pPr>
        <w:spacing w:after="0"/>
      </w:pPr>
      <w:r>
        <w:rPr>
          <w:rFonts w:ascii="Courier New" w:hAnsi="Courier New"/>
          <w:sz w:val="14"/>
        </w:rPr>
        <w:t>which(pred != test$Species)</w:t>
      </w:r>
    </w:p>
    <w:p>
      <w:pPr>
        <w:pStyle w:val="Heading1"/>
      </w:pPr>
      <w:r>
        <w:t>10. Conclusion</w:t>
      </w:r>
    </w:p>
    <w:p>
      <w:r>
        <w:t>The project demonstrates a complete R workflow from statistical exploration and hypothesis formulation through classification, cross-validation, diagnostics and interpretation. The Iris dataset supports high-accuracy classification, while the workflow provides a foundation for more complex real-world predictive modeling.</w:t>
      </w:r>
    </w:p>
    <w:p>
      <w:pPr>
        <w:pStyle w:val="Heading1"/>
      </w:pPr>
      <w:r>
        <w:t>References</w:t>
      </w:r>
    </w:p>
    <w:p>
      <w:r>
        <w:t>R Core Team. R: A Language and Environment for Statistical Computing. R Foundation for Statistical Computing.</w:t>
      </w:r>
    </w:p>
    <w:p>
      <w:r>
        <w:t>Fisher, R. A. (1936). The use of multiple measurements in taxonomic problems. Annals of Eugenics, 7, 179–188.</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