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6F1998" w14:textId="77777777" w:rsidR="003A0903" w:rsidRDefault="006970F3" w:rsidP="00902B59">
      <w:pPr>
        <w:pStyle w:val="Heading1"/>
        <w:spacing w:line="240" w:lineRule="auto"/>
      </w:pPr>
      <w:r>
        <w:t>COVID-19 (2020) Dashboard Analysis Report</w:t>
      </w:r>
    </w:p>
    <w:p w14:paraId="2A35E0FE" w14:textId="77777777" w:rsidR="003A0903" w:rsidRDefault="003A0903" w:rsidP="00902B59">
      <w:pPr>
        <w:spacing w:line="240" w:lineRule="auto"/>
      </w:pPr>
    </w:p>
    <w:p w14:paraId="70054504" w14:textId="77777777" w:rsidR="003A0903" w:rsidRDefault="006970F3" w:rsidP="00902B59">
      <w:pPr>
        <w:spacing w:line="240" w:lineRule="auto"/>
      </w:pPr>
      <w:r>
        <w:t xml:space="preserve">This report provides an analytical summary of the visual dashboards created for the COVID‑19 (2020) dataset. </w:t>
      </w:r>
    </w:p>
    <w:p w14:paraId="615E7950" w14:textId="4D0317C3" w:rsidR="003A0903" w:rsidRDefault="006970F3" w:rsidP="00902B59">
      <w:pPr>
        <w:spacing w:line="240" w:lineRule="auto"/>
      </w:pPr>
      <w:r>
        <w:t>Two dashboards were examined: a Power BI dashboard and a Tableau dashboard. Both visualize global COVID‑19</w:t>
      </w:r>
      <w:r w:rsidR="000A0B40">
        <w:t xml:space="preserve"> </w:t>
      </w:r>
      <w:r>
        <w:t>metrics including confirmed cases, active cases, recovered cases, and total deaths, along with breakdowns by WHO region, month, and country.</w:t>
      </w:r>
    </w:p>
    <w:p w14:paraId="0AB374BA" w14:textId="77777777" w:rsidR="000A0B40" w:rsidRDefault="000A0B40" w:rsidP="00902B59">
      <w:pPr>
        <w:spacing w:line="240" w:lineRule="auto"/>
      </w:pPr>
    </w:p>
    <w:p w14:paraId="05EB814D" w14:textId="135502F7" w:rsidR="000A0B40" w:rsidRPr="00902B59" w:rsidRDefault="006970F3" w:rsidP="00902B59">
      <w:pPr>
        <w:spacing w:line="240" w:lineRule="auto"/>
        <w:rPr>
          <w:b/>
          <w:bCs/>
          <w:color w:val="4BACC6" w:themeColor="accent5"/>
          <w:sz w:val="28"/>
          <w:szCs w:val="28"/>
        </w:rPr>
      </w:pPr>
      <w:r>
        <w:t xml:space="preserve"> </w:t>
      </w:r>
      <w:r w:rsidRPr="00902B59">
        <w:rPr>
          <w:b/>
          <w:bCs/>
          <w:color w:val="4BACC6" w:themeColor="accent5"/>
          <w:sz w:val="28"/>
          <w:szCs w:val="28"/>
        </w:rPr>
        <w:t xml:space="preserve">Key </w:t>
      </w:r>
      <w:r w:rsidR="0014520E" w:rsidRPr="00902B59">
        <w:rPr>
          <w:b/>
          <w:bCs/>
          <w:color w:val="4BACC6" w:themeColor="accent5"/>
          <w:sz w:val="28"/>
          <w:szCs w:val="28"/>
        </w:rPr>
        <w:t>Insights</w:t>
      </w:r>
      <w:r w:rsidR="0014520E">
        <w:rPr>
          <w:b/>
          <w:bCs/>
          <w:color w:val="4BACC6" w:themeColor="accent5"/>
          <w:sz w:val="28"/>
          <w:szCs w:val="28"/>
        </w:rPr>
        <w:t xml:space="preserve">: </w:t>
      </w:r>
      <w:r w:rsidR="00902B59">
        <w:rPr>
          <w:b/>
          <w:bCs/>
          <w:color w:val="4BACC6" w:themeColor="accent5"/>
          <w:sz w:val="28"/>
          <w:szCs w:val="28"/>
        </w:rPr>
        <w:t>-</w:t>
      </w:r>
    </w:p>
    <w:p w14:paraId="3CB7303F" w14:textId="4777E47B" w:rsidR="003A0903" w:rsidRPr="00902B59" w:rsidRDefault="006970F3" w:rsidP="00902B59">
      <w:pPr>
        <w:spacing w:line="240" w:lineRule="auto"/>
        <w:rPr>
          <w:b/>
          <w:bCs/>
          <w:color w:val="7030A0"/>
          <w:sz w:val="24"/>
          <w:szCs w:val="24"/>
        </w:rPr>
      </w:pPr>
      <w:r w:rsidRPr="00902B59">
        <w:rPr>
          <w:b/>
          <w:bCs/>
          <w:color w:val="7030A0"/>
          <w:sz w:val="24"/>
          <w:szCs w:val="24"/>
        </w:rPr>
        <w:t>1. Global Overview</w:t>
      </w:r>
    </w:p>
    <w:p w14:paraId="5AC2BD7F" w14:textId="5FC15ACF" w:rsidR="003A0903" w:rsidRDefault="006970F3" w:rsidP="00902B59">
      <w:pPr>
        <w:pStyle w:val="ListParagraph"/>
        <w:numPr>
          <w:ilvl w:val="0"/>
          <w:numId w:val="10"/>
        </w:numPr>
        <w:spacing w:line="240" w:lineRule="auto"/>
      </w:pPr>
      <w:r>
        <w:t>Confirmed Cases:</w:t>
      </w:r>
      <w:r w:rsidR="000A0B40">
        <w:t xml:space="preserve"> </w:t>
      </w:r>
      <w:r>
        <w:t xml:space="preserve">829M  </w:t>
      </w:r>
    </w:p>
    <w:p w14:paraId="7BEC9E74" w14:textId="17C5A9C4" w:rsidR="003A0903" w:rsidRDefault="006970F3" w:rsidP="00902B59">
      <w:pPr>
        <w:pStyle w:val="ListParagraph"/>
        <w:numPr>
          <w:ilvl w:val="0"/>
          <w:numId w:val="10"/>
        </w:numPr>
        <w:spacing w:line="240" w:lineRule="auto"/>
      </w:pPr>
      <w:r>
        <w:t>Active Cases:</w:t>
      </w:r>
      <w:r w:rsidR="000A0B40">
        <w:t xml:space="preserve"> </w:t>
      </w:r>
      <w:r>
        <w:t xml:space="preserve">397M  </w:t>
      </w:r>
    </w:p>
    <w:p w14:paraId="3F87C8DE" w14:textId="1EC43142" w:rsidR="003A0903" w:rsidRDefault="006970F3" w:rsidP="00902B59">
      <w:pPr>
        <w:pStyle w:val="ListParagraph"/>
        <w:numPr>
          <w:ilvl w:val="0"/>
          <w:numId w:val="10"/>
        </w:numPr>
        <w:spacing w:line="240" w:lineRule="auto"/>
      </w:pPr>
      <w:r>
        <w:t>Recovered Cases:</w:t>
      </w:r>
      <w:r w:rsidR="000A0B40">
        <w:t xml:space="preserve"> </w:t>
      </w:r>
      <w:r>
        <w:t xml:space="preserve">388M  </w:t>
      </w:r>
    </w:p>
    <w:p w14:paraId="5731C8E2" w14:textId="6FC2269A" w:rsidR="003A0903" w:rsidRDefault="006970F3" w:rsidP="00902B59">
      <w:pPr>
        <w:pStyle w:val="ListParagraph"/>
        <w:numPr>
          <w:ilvl w:val="0"/>
          <w:numId w:val="10"/>
        </w:numPr>
        <w:spacing w:line="240" w:lineRule="auto"/>
      </w:pPr>
      <w:r>
        <w:t>Total Deaths:</w:t>
      </w:r>
      <w:r w:rsidR="000A0B40">
        <w:t xml:space="preserve"> </w:t>
      </w:r>
      <w:r>
        <w:t xml:space="preserve">43M </w:t>
      </w:r>
    </w:p>
    <w:p w14:paraId="2BF476F2" w14:textId="77777777" w:rsidR="003A0903" w:rsidRDefault="003A0903"/>
    <w:p w14:paraId="5C83EA85" w14:textId="77777777" w:rsidR="003A0903" w:rsidRDefault="006970F3">
      <w:r>
        <w:t>This indicates a high infection rate worldwide, with a significant portion recovering but also a substantial mortality count.</w:t>
      </w:r>
    </w:p>
    <w:p w14:paraId="5318A03E" w14:textId="77777777" w:rsidR="000A0B40" w:rsidRDefault="000A0B40"/>
    <w:p w14:paraId="3E7DFF8C" w14:textId="2D8E9C8D" w:rsidR="003A0903" w:rsidRPr="00902B59" w:rsidRDefault="006970F3">
      <w:pPr>
        <w:rPr>
          <w:b/>
          <w:bCs/>
        </w:rPr>
      </w:pPr>
      <w:r>
        <w:t xml:space="preserve"> </w:t>
      </w:r>
      <w:r w:rsidRPr="00902B59">
        <w:rPr>
          <w:b/>
          <w:bCs/>
          <w:color w:val="7030A0"/>
          <w:sz w:val="24"/>
          <w:szCs w:val="24"/>
        </w:rPr>
        <w:t>2. WHO Region Breakdown</w:t>
      </w:r>
    </w:p>
    <w:p w14:paraId="50709E59" w14:textId="713CED7B" w:rsidR="003A0903" w:rsidRDefault="000A0B40" w:rsidP="000A0B40">
      <w:r>
        <w:t xml:space="preserve"> </w:t>
      </w:r>
      <w:r w:rsidR="00902B59" w:rsidRPr="00902B59">
        <w:rPr>
          <w:color w:val="C0504D" w:themeColor="accent2"/>
        </w:rPr>
        <w:t>a.</w:t>
      </w:r>
      <w:r w:rsidRPr="00902B59">
        <w:rPr>
          <w:color w:val="C0504D" w:themeColor="accent2"/>
        </w:rPr>
        <w:t xml:space="preserve"> </w:t>
      </w:r>
      <w:r w:rsidR="006970F3" w:rsidRPr="00902B59">
        <w:rPr>
          <w:color w:val="C0504D" w:themeColor="accent2"/>
        </w:rPr>
        <w:t>Confirmed Cases</w:t>
      </w:r>
    </w:p>
    <w:p w14:paraId="0B77A756" w14:textId="0899B175" w:rsidR="003A0903" w:rsidRDefault="006970F3" w:rsidP="00902B59">
      <w:pPr>
        <w:pStyle w:val="ListParagraph"/>
        <w:numPr>
          <w:ilvl w:val="0"/>
          <w:numId w:val="13"/>
        </w:numPr>
      </w:pPr>
      <w:r>
        <w:t>The Americas and Europe have the highest case volumes.</w:t>
      </w:r>
    </w:p>
    <w:p w14:paraId="085B410C" w14:textId="33033C2A" w:rsidR="003A0903" w:rsidRDefault="006970F3" w:rsidP="00902B59">
      <w:pPr>
        <w:pStyle w:val="ListParagraph"/>
        <w:numPr>
          <w:ilvl w:val="0"/>
          <w:numId w:val="13"/>
        </w:numPr>
      </w:pPr>
      <w:r>
        <w:t>Regions such as Africa, South‑East Asia, and Western Pacific show comparatively lower</w:t>
      </w:r>
      <w:r w:rsidR="00902B59">
        <w:t xml:space="preserve"> </w:t>
      </w:r>
      <w:r>
        <w:t>case</w:t>
      </w:r>
      <w:r w:rsidR="00902B59">
        <w:t>s</w:t>
      </w:r>
      <w:r>
        <w:t xml:space="preserve"> numbers.</w:t>
      </w:r>
    </w:p>
    <w:p w14:paraId="04CE4555" w14:textId="12E780DD" w:rsidR="003A0903" w:rsidRPr="00902B59" w:rsidRDefault="00902B59">
      <w:pPr>
        <w:rPr>
          <w:color w:val="C0504D" w:themeColor="accent2"/>
        </w:rPr>
      </w:pPr>
      <w:r w:rsidRPr="00902B59">
        <w:rPr>
          <w:color w:val="C0504D" w:themeColor="accent2"/>
        </w:rPr>
        <w:t>b.</w:t>
      </w:r>
      <w:r w:rsidR="006970F3" w:rsidRPr="00902B59">
        <w:rPr>
          <w:color w:val="C0504D" w:themeColor="accent2"/>
        </w:rPr>
        <w:t xml:space="preserve"> Active Cases</w:t>
      </w:r>
    </w:p>
    <w:p w14:paraId="7846725E" w14:textId="78219965" w:rsidR="003A0903" w:rsidRDefault="006970F3" w:rsidP="00902B59">
      <w:pPr>
        <w:pStyle w:val="ListParagraph"/>
        <w:numPr>
          <w:ilvl w:val="0"/>
          <w:numId w:val="13"/>
        </w:numPr>
      </w:pPr>
      <w:r>
        <w:t>The Americas dominate active cases, representing more than half of the global active infections.</w:t>
      </w:r>
    </w:p>
    <w:p w14:paraId="419E6B99" w14:textId="4161C073" w:rsidR="003A0903" w:rsidRDefault="006970F3" w:rsidP="00902B59">
      <w:pPr>
        <w:pStyle w:val="ListParagraph"/>
        <w:numPr>
          <w:ilvl w:val="0"/>
          <w:numId w:val="13"/>
        </w:numPr>
      </w:pPr>
      <w:r>
        <w:t>Europe holds a moderate portion, while other regions contribute smaller shares.</w:t>
      </w:r>
    </w:p>
    <w:p w14:paraId="1304F192" w14:textId="3BF0DDF6" w:rsidR="003A0903" w:rsidRPr="00902B59" w:rsidRDefault="00902B59">
      <w:pPr>
        <w:rPr>
          <w:color w:val="C0504D" w:themeColor="accent2"/>
        </w:rPr>
      </w:pPr>
      <w:r w:rsidRPr="00902B59">
        <w:rPr>
          <w:color w:val="C0504D" w:themeColor="accent2"/>
        </w:rPr>
        <w:t xml:space="preserve">c. </w:t>
      </w:r>
      <w:r w:rsidR="006970F3" w:rsidRPr="00902B59">
        <w:rPr>
          <w:color w:val="C0504D" w:themeColor="accent2"/>
        </w:rPr>
        <w:t>Recovered Cases</w:t>
      </w:r>
    </w:p>
    <w:p w14:paraId="3FB41920" w14:textId="4AD8D1B2" w:rsidR="003A0903" w:rsidRDefault="006970F3" w:rsidP="00902B59">
      <w:pPr>
        <w:pStyle w:val="ListParagraph"/>
        <w:numPr>
          <w:ilvl w:val="0"/>
          <w:numId w:val="13"/>
        </w:numPr>
      </w:pPr>
      <w:r>
        <w:t>The Americas lead recovered cases at ~157M, followed by Europe (~123M).</w:t>
      </w:r>
    </w:p>
    <w:p w14:paraId="305D9380" w14:textId="3B9C3A39" w:rsidR="0014520E" w:rsidRDefault="006970F3" w:rsidP="0014520E">
      <w:pPr>
        <w:pStyle w:val="ListParagraph"/>
        <w:numPr>
          <w:ilvl w:val="0"/>
          <w:numId w:val="13"/>
        </w:numPr>
      </w:pPr>
      <w:r>
        <w:t>Other regions show significantly smaller recovery counts, consistent with their lower confirmed case totals.</w:t>
      </w:r>
    </w:p>
    <w:p w14:paraId="2D49EC8B" w14:textId="73727D83" w:rsidR="003A0903" w:rsidRPr="0014520E" w:rsidRDefault="0014520E" w:rsidP="0014520E">
      <w:pPr>
        <w:rPr>
          <w:color w:val="C0504D" w:themeColor="accent2"/>
        </w:rPr>
      </w:pPr>
      <w:r w:rsidRPr="0014520E">
        <w:rPr>
          <w:color w:val="C0504D" w:themeColor="accent2"/>
        </w:rPr>
        <w:t>d.</w:t>
      </w:r>
      <w:r>
        <w:rPr>
          <w:color w:val="C0504D" w:themeColor="accent2"/>
        </w:rPr>
        <w:t xml:space="preserve"> </w:t>
      </w:r>
      <w:r w:rsidR="006970F3" w:rsidRPr="0014520E">
        <w:rPr>
          <w:color w:val="C0504D" w:themeColor="accent2"/>
        </w:rPr>
        <w:t>Total Deaths</w:t>
      </w:r>
    </w:p>
    <w:p w14:paraId="08046E03" w14:textId="630B5628" w:rsidR="003A0903" w:rsidRDefault="006970F3" w:rsidP="0014520E">
      <w:pPr>
        <w:pStyle w:val="ListParagraph"/>
        <w:numPr>
          <w:ilvl w:val="0"/>
          <w:numId w:val="18"/>
        </w:numPr>
        <w:spacing w:line="240" w:lineRule="auto"/>
      </w:pPr>
      <w:r>
        <w:t>The Americas and Europe again lead mortality counts, each contributing a major share of global deaths.</w:t>
      </w:r>
    </w:p>
    <w:p w14:paraId="3D40F1FD" w14:textId="0D630C24" w:rsidR="003A0903" w:rsidRPr="0014520E" w:rsidRDefault="006970F3" w:rsidP="0014520E">
      <w:pPr>
        <w:pStyle w:val="ListParagraph"/>
        <w:numPr>
          <w:ilvl w:val="0"/>
          <w:numId w:val="18"/>
        </w:numPr>
        <w:spacing w:line="240" w:lineRule="auto"/>
        <w:rPr>
          <w:b/>
          <w:bCs/>
          <w:color w:val="8064A2" w:themeColor="accent4"/>
          <w:sz w:val="24"/>
          <w:szCs w:val="24"/>
        </w:rPr>
      </w:pPr>
      <w:r>
        <w:t>Africa and Western Pacific appear to have low death counts relative to other regions.</w:t>
      </w:r>
    </w:p>
    <w:p w14:paraId="2BD58544" w14:textId="77777777" w:rsidR="0014520E" w:rsidRPr="0014520E" w:rsidRDefault="0014520E" w:rsidP="0014520E">
      <w:pPr>
        <w:pStyle w:val="ListParagraph"/>
        <w:spacing w:line="240" w:lineRule="auto"/>
        <w:rPr>
          <w:b/>
          <w:bCs/>
          <w:color w:val="8064A2" w:themeColor="accent4"/>
          <w:sz w:val="24"/>
          <w:szCs w:val="24"/>
        </w:rPr>
      </w:pPr>
    </w:p>
    <w:p w14:paraId="7F905D09" w14:textId="0CEB4F98" w:rsidR="003A0903" w:rsidRPr="0014520E" w:rsidRDefault="006970F3">
      <w:pPr>
        <w:rPr>
          <w:b/>
          <w:bCs/>
          <w:color w:val="8064A2" w:themeColor="accent4"/>
          <w:sz w:val="24"/>
          <w:szCs w:val="24"/>
        </w:rPr>
      </w:pPr>
      <w:r w:rsidRPr="0014520E">
        <w:rPr>
          <w:b/>
          <w:bCs/>
          <w:color w:val="8064A2" w:themeColor="accent4"/>
          <w:sz w:val="24"/>
          <w:szCs w:val="24"/>
        </w:rPr>
        <w:t xml:space="preserve"> 3. Time‑Based Trends (Months &amp; Quarters)</w:t>
      </w:r>
    </w:p>
    <w:p w14:paraId="604E1236" w14:textId="2F29B7A5" w:rsidR="003A0903" w:rsidRDefault="006970F3" w:rsidP="0014520E">
      <w:pPr>
        <w:pStyle w:val="ListParagraph"/>
        <w:numPr>
          <w:ilvl w:val="0"/>
          <w:numId w:val="18"/>
        </w:numPr>
      </w:pPr>
      <w:r>
        <w:t>Cases and deaths increase sharply from March through July.</w:t>
      </w:r>
    </w:p>
    <w:p w14:paraId="2E1D89D8" w14:textId="2B48BCC7" w:rsidR="003A0903" w:rsidRDefault="006970F3" w:rsidP="0014520E">
      <w:pPr>
        <w:pStyle w:val="ListParagraph"/>
        <w:numPr>
          <w:ilvl w:val="0"/>
          <w:numId w:val="18"/>
        </w:numPr>
      </w:pPr>
      <w:r>
        <w:t>Quarter 2 (Q2) contains the largest portion of confirmed cases, reflecting the global escalation mid‑2020.</w:t>
      </w:r>
    </w:p>
    <w:p w14:paraId="3E3DF058" w14:textId="4E679F7C" w:rsidR="003A0903" w:rsidRDefault="006970F3" w:rsidP="0014520E">
      <w:pPr>
        <w:pStyle w:val="ListParagraph"/>
        <w:numPr>
          <w:ilvl w:val="0"/>
          <w:numId w:val="18"/>
        </w:numPr>
      </w:pPr>
      <w:r>
        <w:t>Quarter 1 (Q1) contributes the smallest share, as the pandemic was still emerging.</w:t>
      </w:r>
    </w:p>
    <w:p w14:paraId="4CC4092C" w14:textId="77777777" w:rsidR="0014520E" w:rsidRDefault="0014520E"/>
    <w:p w14:paraId="20895A6F" w14:textId="22986E16" w:rsidR="003A0903" w:rsidRPr="0014520E" w:rsidRDefault="006970F3">
      <w:pPr>
        <w:rPr>
          <w:b/>
          <w:bCs/>
          <w:color w:val="8064A2" w:themeColor="accent4"/>
          <w:sz w:val="24"/>
          <w:szCs w:val="24"/>
        </w:rPr>
      </w:pPr>
      <w:r w:rsidRPr="0014520E">
        <w:rPr>
          <w:b/>
          <w:bCs/>
          <w:color w:val="8064A2" w:themeColor="accent4"/>
          <w:sz w:val="24"/>
          <w:szCs w:val="24"/>
        </w:rPr>
        <w:t xml:space="preserve"> 4. Country Analysis</w:t>
      </w:r>
    </w:p>
    <w:p w14:paraId="505F2432" w14:textId="77777777" w:rsidR="003A0903" w:rsidRDefault="006970F3" w:rsidP="0014520E">
      <w:pPr>
        <w:pStyle w:val="ListParagraph"/>
        <w:numPr>
          <w:ilvl w:val="0"/>
          <w:numId w:val="20"/>
        </w:numPr>
      </w:pPr>
      <w:r>
        <w:t xml:space="preserve">While the provided charts focus heavily on WHO regional aggregation, the Tableau dashboard includes </w:t>
      </w:r>
    </w:p>
    <w:p w14:paraId="6CFC8421" w14:textId="77777777" w:rsidR="003A0903" w:rsidRDefault="006970F3" w:rsidP="0014520E">
      <w:pPr>
        <w:pStyle w:val="ListParagraph"/>
        <w:numPr>
          <w:ilvl w:val="0"/>
          <w:numId w:val="20"/>
        </w:numPr>
      </w:pPr>
      <w:r>
        <w:t>country‑level comparisons illustrating:</w:t>
      </w:r>
    </w:p>
    <w:p w14:paraId="7E735C12" w14:textId="6401B640" w:rsidR="003A0903" w:rsidRDefault="006970F3" w:rsidP="0014520E">
      <w:pPr>
        <w:pStyle w:val="ListParagraph"/>
        <w:numPr>
          <w:ilvl w:val="0"/>
          <w:numId w:val="20"/>
        </w:numPr>
      </w:pPr>
      <w:r>
        <w:t>The US, Brazil, Russia, India, and Spain</w:t>
      </w:r>
      <w:r w:rsidR="00902B59">
        <w:t xml:space="preserve"> </w:t>
      </w:r>
      <w:r>
        <w:t>as major contributors to confirmed, active, recovered, and death counts.</w:t>
      </w:r>
    </w:p>
    <w:p w14:paraId="234F5F86" w14:textId="77777777" w:rsidR="0014520E" w:rsidRDefault="0014520E"/>
    <w:p w14:paraId="2AA00F88" w14:textId="79C7E093" w:rsidR="003A0903" w:rsidRPr="005F2364" w:rsidRDefault="006970F3">
      <w:pPr>
        <w:rPr>
          <w:b/>
          <w:bCs/>
          <w:color w:val="00B0F0"/>
          <w:sz w:val="32"/>
          <w:szCs w:val="32"/>
        </w:rPr>
      </w:pPr>
      <w:r w:rsidRPr="005F2364">
        <w:rPr>
          <w:b/>
          <w:bCs/>
          <w:color w:val="00B0F0"/>
          <w:sz w:val="32"/>
          <w:szCs w:val="32"/>
        </w:rPr>
        <w:t>Conclusion</w:t>
      </w:r>
    </w:p>
    <w:p w14:paraId="5980AAF2" w14:textId="77777777" w:rsidR="003A0903" w:rsidRDefault="006970F3">
      <w:r>
        <w:t xml:space="preserve">Both dashboards highlight the massive scale and regional variability of the COVID‑19 outbreak in 2020. </w:t>
      </w:r>
    </w:p>
    <w:p w14:paraId="382AFE40" w14:textId="77777777" w:rsidR="003A0903" w:rsidRDefault="006970F3">
      <w:r>
        <w:t>They demonstrate:</w:t>
      </w:r>
    </w:p>
    <w:p w14:paraId="6468AC26" w14:textId="77777777" w:rsidR="003A0903" w:rsidRDefault="006970F3">
      <w:r>
        <w:t>- High case concentrations in the Americas and Europe</w:t>
      </w:r>
    </w:p>
    <w:p w14:paraId="1EA111E9" w14:textId="77777777" w:rsidR="003A0903" w:rsidRDefault="006970F3">
      <w:r>
        <w:t>- Significant recovery rates despite high case volumes</w:t>
      </w:r>
    </w:p>
    <w:p w14:paraId="2438E4E6" w14:textId="77777777" w:rsidR="003A0903" w:rsidRDefault="006970F3">
      <w:r>
        <w:t>- A clear upward trend over the first half of 2020</w:t>
      </w:r>
    </w:p>
    <w:p w14:paraId="35B20972" w14:textId="77777777" w:rsidR="003A0903" w:rsidRDefault="006970F3">
      <w:r>
        <w:t>- Regional differences in mortality and active case distribution</w:t>
      </w:r>
    </w:p>
    <w:p w14:paraId="0A21359B" w14:textId="77777777" w:rsidR="003A0903" w:rsidRDefault="003A0903"/>
    <w:p w14:paraId="3CC07560" w14:textId="1FF19630" w:rsidR="003A0903" w:rsidRDefault="005F2364">
      <w:r>
        <w:t xml:space="preserve">Countries should focus on strengthening surveillance, ensuring rapid testing and response, protecting vulnerable populations, expanding health-system capacity, and maintaining transparent communication. A data-driven, flexible </w:t>
      </w:r>
      <w:proofErr w:type="gramStart"/>
      <w:r>
        <w:t>approach  supported</w:t>
      </w:r>
      <w:proofErr w:type="gramEnd"/>
      <w:r>
        <w:t xml:space="preserve"> by vaccination, targeted restrictions, and community engagement  is essential to control outbreaks while minimizing social and economic impact.</w:t>
      </w:r>
    </w:p>
    <w:sectPr w:rsidR="003A0903" w:rsidSect="000A0B40">
      <w:pgSz w:w="12240" w:h="15840"/>
      <w:pgMar w:top="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B393934"/>
    <w:multiLevelType w:val="hybridMultilevel"/>
    <w:tmpl w:val="A92453FE"/>
    <w:lvl w:ilvl="0" w:tplc="CDC6BA0A"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7A00EC8"/>
    <w:multiLevelType w:val="hybridMultilevel"/>
    <w:tmpl w:val="86283CA0"/>
    <w:lvl w:ilvl="0" w:tplc="CDC6BA0A"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27F257D"/>
    <w:multiLevelType w:val="hybridMultilevel"/>
    <w:tmpl w:val="AF90B664"/>
    <w:lvl w:ilvl="0" w:tplc="CDC6BA0A"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41F3B80"/>
    <w:multiLevelType w:val="hybridMultilevel"/>
    <w:tmpl w:val="B5006682"/>
    <w:lvl w:ilvl="0" w:tplc="40090001">
      <w:start w:val="1"/>
      <w:numFmt w:val="bullet"/>
      <w:lvlText w:val=""/>
      <w:lvlJc w:val="left"/>
      <w:pPr>
        <w:ind w:left="768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8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0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2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4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6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8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0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28" w:hanging="360"/>
      </w:pPr>
      <w:rPr>
        <w:rFonts w:ascii="Wingdings" w:hAnsi="Wingdings" w:hint="default"/>
      </w:rPr>
    </w:lvl>
  </w:abstractNum>
  <w:abstractNum w:abstractNumId="13" w15:restartNumberingAfterBreak="0">
    <w:nsid w:val="46352068"/>
    <w:multiLevelType w:val="hybridMultilevel"/>
    <w:tmpl w:val="ECA2B13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0DC596F"/>
    <w:multiLevelType w:val="hybridMultilevel"/>
    <w:tmpl w:val="6B5C3A68"/>
    <w:lvl w:ilvl="0" w:tplc="CDC6BA0A"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63B5249"/>
    <w:multiLevelType w:val="hybridMultilevel"/>
    <w:tmpl w:val="1C40187E"/>
    <w:lvl w:ilvl="0" w:tplc="CDC6BA0A"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6460C45"/>
    <w:multiLevelType w:val="hybridMultilevel"/>
    <w:tmpl w:val="E506D50E"/>
    <w:lvl w:ilvl="0" w:tplc="CDC6BA0A"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1F832F8"/>
    <w:multiLevelType w:val="hybridMultilevel"/>
    <w:tmpl w:val="0368FAD8"/>
    <w:lvl w:ilvl="0" w:tplc="CDC6BA0A"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35F0A98"/>
    <w:multiLevelType w:val="hybridMultilevel"/>
    <w:tmpl w:val="3D0436A6"/>
    <w:lvl w:ilvl="0" w:tplc="40090019">
      <w:start w:val="4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6F60237"/>
    <w:multiLevelType w:val="hybridMultilevel"/>
    <w:tmpl w:val="68CA7D3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9"/>
  </w:num>
  <w:num w:numId="11">
    <w:abstractNumId w:val="12"/>
  </w:num>
  <w:num w:numId="12">
    <w:abstractNumId w:val="13"/>
  </w:num>
  <w:num w:numId="13">
    <w:abstractNumId w:val="9"/>
  </w:num>
  <w:num w:numId="14">
    <w:abstractNumId w:val="16"/>
  </w:num>
  <w:num w:numId="15">
    <w:abstractNumId w:val="11"/>
  </w:num>
  <w:num w:numId="16">
    <w:abstractNumId w:val="18"/>
  </w:num>
  <w:num w:numId="17">
    <w:abstractNumId w:val="17"/>
  </w:num>
  <w:num w:numId="18">
    <w:abstractNumId w:val="15"/>
  </w:num>
  <w:num w:numId="19">
    <w:abstractNumId w:val="14"/>
  </w:num>
  <w:num w:numId="2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A0B40"/>
    <w:rsid w:val="0014520E"/>
    <w:rsid w:val="0015074B"/>
    <w:rsid w:val="0029639D"/>
    <w:rsid w:val="00326F90"/>
    <w:rsid w:val="003A0903"/>
    <w:rsid w:val="005F2364"/>
    <w:rsid w:val="006970F3"/>
    <w:rsid w:val="00902B59"/>
    <w:rsid w:val="00AA1D8D"/>
    <w:rsid w:val="00B47730"/>
    <w:rsid w:val="00CB0664"/>
    <w:rsid w:val="00CD0DA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124A1AB"/>
  <w14:defaultImageDpi w14:val="300"/>
  <w15:docId w15:val="{CC3C067C-6BD3-40EA-807F-E3994795CF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413</Words>
  <Characters>2360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2768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prachi saini</cp:lastModifiedBy>
  <cp:revision>2</cp:revision>
  <dcterms:created xsi:type="dcterms:W3CDTF">2025-11-25T12:28:00Z</dcterms:created>
  <dcterms:modified xsi:type="dcterms:W3CDTF">2025-11-25T12:28:00Z</dcterms:modified>
  <cp:category/>
</cp:coreProperties>
</file>