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HCM Customer Pain Points: Market Analysis</w:t>
      </w:r>
    </w:p>
    <w:p>
      <w:pPr>
        <w:spacing w:after="120"/>
        <w:jc w:val="center"/>
      </w:pPr>
      <w:r>
        <w:rPr>
          <w:color w:val="404040"/>
          <w:sz w:val="22"/>
          <w:szCs w:val="22"/>
        </w:rPr>
        <w:t xml:space="preserve">Oracle FDI HCM  |  Workday HCM  |  SMB HCM (Rippling, BambooHR, Gusto)  +  Cross-Vendor Analysis</w:t>
      </w:r>
    </w:p>
    <w:p>
      <w:pPr>
        <w:spacing w:after="240"/>
        <w:jc w:val="center"/>
      </w:pPr>
      <w:r>
        <w:rPr>
          <w:i/>
          <w:iCs/>
          <w:color w:val="595959"/>
          <w:sz w:val="18"/>
          <w:szCs w:val="18"/>
        </w:rPr>
        <w:t xml:space="preserve">Prepared: May 2026  •  Sources: Gartner, G2, Capterra, Trustpilot, BBB, Oracle Community, Forrester, PwC, HBR, Korn Ferry</w:t>
      </w:r>
    </w:p>
    <w:p>
      <w:pPr>
        <w:pStyle w:val="Heading2"/>
        <w:spacing w:after="140" w:before="200"/>
      </w:pPr>
      <w:r>
        <w:rPr>
          <w:b/>
          <w:bCs/>
          <w:color w:val="2E75B6"/>
          <w:sz w:val="26"/>
          <w:szCs w:val="26"/>
        </w:rPr>
        <w:t xml:space="preserve">Executive Summary</w:t>
      </w:r>
    </w:p>
    <w:p>
      <w:pPr>
        <w:spacing w:after="120"/>
      </w:pPr>
      <w:r>
        <w:rPr>
          <w:b w:val="false"/>
          <w:bCs w:val="false"/>
          <w:i w:val="false"/>
          <w:iCs w:val="false"/>
          <w:color w:val="000000"/>
          <w:sz w:val="22"/>
          <w:szCs w:val="22"/>
        </w:rPr>
        <w:t xml:space="preserve">This analysis synthesizes verified customer reviews and partner-published implementation reports across three distinct HCM segments. Each segment carries a different pain profile shaped by buyer size, deployment model, and product maturity. Oracle FDI HCM customers struggle primarily with analytics extensibility and implementation complexity tied to Fusion HCM data structures. Workday HCM customers cite cost, UX friction, and rigid configuration. SMB HCM customers (Rippling, BambooHR, Gusto) most frequently complain about support gaps, payroll/tax errors, pricing opacity, and feature limitations as they scale.</w:t>
      </w:r>
    </w:p>
    <w:p>
      <w:pPr>
        <w:spacing w:after="120"/>
      </w:pPr>
      <w:r>
        <w:rPr>
          <w:b w:val="false"/>
          <w:bCs w:val="false"/>
          <w:i w:val="false"/>
          <w:iCs w:val="false"/>
          <w:color w:val="000000"/>
          <w:sz w:val="22"/>
          <w:szCs w:val="22"/>
        </w:rPr>
        <w:t xml:space="preserve">Sections 4-6 add a cross-vendor analysis: the five most painful HCM subject areas across the entire customer base, a deep-dive into the specific HR analytics domain that drives the most reported pain (with a direct comparison of Performance vs. Attrition vs. Payroll Analytics), and a correction of the common misconception that compliance pain is exclusively a payroll problem.</w:t>
      </w:r>
    </w:p>
    <w:p>
      <w:pPr>
        <w:pStyle w:val="Heading1"/>
        <w:spacing w:after="180" w:before="240"/>
      </w:pPr>
      <w:r>
        <w:rPr>
          <w:b/>
          <w:bCs/>
          <w:color w:val="1F3864"/>
          <w:sz w:val="32"/>
          <w:szCs w:val="32"/>
        </w:rPr>
        <w:t xml:space="preserve">1. Oracle FDI HCM Customers — Top 10 Pain Points</w:t>
      </w:r>
    </w:p>
    <w:p>
      <w:pPr>
        <w:spacing w:after="120"/>
      </w:pPr>
      <w:r>
        <w:rPr>
          <w:b w:val="false"/>
          <w:bCs w:val="false"/>
          <w:i/>
          <w:iCs/>
          <w:color w:val="000000"/>
          <w:sz w:val="21"/>
          <w:szCs w:val="21"/>
        </w:rPr>
        <w:t xml:space="preserve">Buyer profile: Large enterprises running Oracle Fusion Cloud HCM who licensed Fusion Data Intelligence (FDI, formerly FAW) for analytics. Pain points cluster around extensibility, semantic model complexity, data security, and OOTB content fit.</w:t>
      </w:r>
    </w:p>
    <w:p>
      <w:pPr>
        <w:spacing w:after="60" w:before="140"/>
      </w:pPr>
      <w:r>
        <w:rPr>
          <w:b/>
          <w:bCs/>
          <w:color w:val="1F3864"/>
          <w:sz w:val="23"/>
          <w:szCs w:val="23"/>
        </w:rPr>
        <w:t xml:space="preserve">1. Out-of-the-box content often does not fit customer needs</w:t>
      </w:r>
    </w:p>
    <w:p>
      <w:pPr>
        <w:spacing w:after="60"/>
        <w:ind w:left="360"/>
      </w:pPr>
      <w:r>
        <w:rPr>
          <w:sz w:val="22"/>
          <w:szCs w:val="22"/>
        </w:rPr>
        <w:t xml:space="preserve">Customers report having to rebuild large portions of prebuilt FDI content because standard reports, KPIs and subject areas do not reflect their specific HR data model, hierarchies, or business definitions.</w:t>
      </w:r>
    </w:p>
    <w:p>
      <w:pPr>
        <w:spacing w:after="140"/>
        <w:ind w:left="360"/>
      </w:pPr>
      <w:r>
        <w:rPr>
          <w:i/>
          <w:iCs/>
          <w:color w:val="595959"/>
          <w:sz w:val="19"/>
          <w:szCs w:val="19"/>
        </w:rPr>
        <w:t xml:space="preserve">Source: Gartner Peer Insights — Oracle Fusion Data Intelligence reviews</w:t>
      </w:r>
    </w:p>
    <w:p>
      <w:pPr>
        <w:spacing w:after="60" w:before="140"/>
      </w:pPr>
      <w:r>
        <w:rPr>
          <w:b/>
          <w:bCs/>
          <w:color w:val="1F3864"/>
          <w:sz w:val="23"/>
          <w:szCs w:val="23"/>
        </w:rPr>
        <w:t xml:space="preserve">2. Steep learning curve and dependence on technical expertise</w:t>
      </w:r>
    </w:p>
    <w:p>
      <w:pPr>
        <w:spacing w:after="60"/>
        <w:ind w:left="360"/>
      </w:pPr>
      <w:r>
        <w:rPr>
          <w:sz w:val="22"/>
          <w:szCs w:val="22"/>
        </w:rPr>
        <w:t xml:space="preserve">Configuring semantic models, building custom dimensions and metrics, and extending pipelines requires Oracle-specific BI skills (OAC, ADW, semantic model extensions) that most HR teams do not possess in-house.</w:t>
      </w:r>
    </w:p>
    <w:p>
      <w:pPr>
        <w:spacing w:after="140"/>
        <w:ind w:left="360"/>
      </w:pPr>
      <w:r>
        <w:rPr>
          <w:i/>
          <w:iCs/>
          <w:color w:val="595959"/>
          <w:sz w:val="19"/>
          <w:szCs w:val="19"/>
        </w:rPr>
        <w:t xml:space="preserve">Source: Gartner Peer Insights — Oracle FDI reviews; Oracle Community FDI threads (Feb 2026)</w:t>
      </w:r>
    </w:p>
    <w:p>
      <w:pPr>
        <w:spacing w:after="60" w:before="140"/>
      </w:pPr>
      <w:r>
        <w:rPr>
          <w:b/>
          <w:bCs/>
          <w:color w:val="1F3864"/>
          <w:sz w:val="23"/>
          <w:szCs w:val="23"/>
        </w:rPr>
        <w:t xml:space="preserve">3. Occasional data sync and accuracy problems</w:t>
      </w:r>
    </w:p>
    <w:p>
      <w:pPr>
        <w:spacing w:after="60"/>
        <w:ind w:left="360"/>
      </w:pPr>
      <w:r>
        <w:rPr>
          <w:sz w:val="22"/>
          <w:szCs w:val="22"/>
        </w:rPr>
        <w:t xml:space="preserve">Verified reviewers describe periodic data refresh inconsistencies between Fusion HCM source and the FDI Autonomous Data Warehouse, eroding trust in dashboards used for executive decisions.</w:t>
      </w:r>
    </w:p>
    <w:p>
      <w:pPr>
        <w:spacing w:after="140"/>
        <w:ind w:left="360"/>
      </w:pPr>
      <w:r>
        <w:rPr>
          <w:i/>
          <w:iCs/>
          <w:color w:val="595959"/>
          <w:sz w:val="19"/>
          <w:szCs w:val="19"/>
        </w:rPr>
        <w:t xml:space="preserve">Source: Gartner Peer Insights — Oracle Fusion Data Intelligence</w:t>
      </w:r>
    </w:p>
    <w:p>
      <w:pPr>
        <w:spacing w:after="60" w:before="140"/>
      </w:pPr>
      <w:r>
        <w:rPr>
          <w:b/>
          <w:bCs/>
          <w:color w:val="1F3864"/>
          <w:sz w:val="23"/>
          <w:szCs w:val="23"/>
        </w:rPr>
        <w:t xml:space="preserve">4. Challenging setup, migration, and version transitions</w:t>
      </w:r>
    </w:p>
    <w:p>
      <w:pPr>
        <w:spacing w:after="60"/>
        <w:ind w:left="360"/>
      </w:pPr>
      <w:r>
        <w:rPr>
          <w:sz w:val="22"/>
          <w:szCs w:val="22"/>
        </w:rPr>
        <w:t xml:space="preserve">FDI implementations are often disrupted by version changes (e.g., FDR v1 production go-live not supported mid-implementation) and pipeline deprecations announced via in-product notifications, forcing customers into unplanned rework.</w:t>
      </w:r>
    </w:p>
    <w:p>
      <w:pPr>
        <w:spacing w:after="140"/>
        <w:ind w:left="360"/>
      </w:pPr>
      <w:r>
        <w:rPr>
          <w:i/>
          <w:iCs/>
          <w:color w:val="595959"/>
          <w:sz w:val="19"/>
          <w:szCs w:val="19"/>
        </w:rPr>
        <w:t xml:space="preserve">Source: Oracle Community — Oracle Analytics / Fusion Data Intelligence forum threads (Feb 2026)</w:t>
      </w:r>
    </w:p>
    <w:p>
      <w:pPr>
        <w:spacing w:after="60" w:before="140"/>
      </w:pPr>
      <w:r>
        <w:rPr>
          <w:b/>
          <w:bCs/>
          <w:color w:val="1F3864"/>
          <w:sz w:val="23"/>
          <w:szCs w:val="23"/>
        </w:rPr>
        <w:t xml:space="preserve">5. PII handling and data security configuration is heavy lifting</w:t>
      </w:r>
    </w:p>
    <w:p>
      <w:pPr>
        <w:spacing w:after="60"/>
        <w:ind w:left="360"/>
      </w:pPr>
      <w:r>
        <w:rPr>
          <w:sz w:val="22"/>
          <w:szCs w:val="22"/>
        </w:rPr>
        <w:t xml:space="preserve">HCM data is sensitive by nature. Customers spend significant effort hiding personally identifiable information, configuring HCM Business Unit Data Security roles, and implementing custom data security — and report that documented nine-step procedures fail in practice.</w:t>
      </w:r>
    </w:p>
    <w:p>
      <w:pPr>
        <w:spacing w:after="140"/>
        <w:ind w:left="360"/>
      </w:pPr>
      <w:r>
        <w:rPr>
          <w:i/>
          <w:iCs/>
          <w:color w:val="595959"/>
          <w:sz w:val="19"/>
          <w:szCs w:val="19"/>
        </w:rPr>
        <w:t xml:space="preserve">Source: Gartner Peer Insights; Oracle Community FDI HCM data security thread (June 2024)</w:t>
      </w:r>
    </w:p>
    <w:p>
      <w:pPr>
        <w:spacing w:after="60" w:before="140"/>
      </w:pPr>
      <w:r>
        <w:rPr>
          <w:b/>
          <w:bCs/>
          <w:color w:val="1F3864"/>
          <w:sz w:val="23"/>
          <w:szCs w:val="23"/>
        </w:rPr>
        <w:t xml:space="preserve">6. Documentation gaps</w:t>
      </w:r>
    </w:p>
    <w:p>
      <w:pPr>
        <w:spacing w:after="60"/>
        <w:ind w:left="360"/>
      </w:pPr>
      <w:r>
        <w:rPr>
          <w:sz w:val="22"/>
          <w:szCs w:val="22"/>
        </w:rPr>
        <w:t xml:space="preserve">Reviewers explicitly call out a lack of documentation as a barrier to self-service adoption, particularly for HCM Analytics extensibility, custom security, and semantic model extensions.</w:t>
      </w:r>
    </w:p>
    <w:p>
      <w:pPr>
        <w:spacing w:after="140"/>
        <w:ind w:left="360"/>
      </w:pPr>
      <w:r>
        <w:rPr>
          <w:i/>
          <w:iCs/>
          <w:color w:val="595959"/>
          <w:sz w:val="19"/>
          <w:szCs w:val="19"/>
        </w:rPr>
        <w:t xml:space="preserve">Source: Gartner Peer Insights — Oracle Fusion Data Intelligence</w:t>
      </w:r>
    </w:p>
    <w:p>
      <w:pPr>
        <w:spacing w:after="60" w:before="140"/>
      </w:pPr>
      <w:r>
        <w:rPr>
          <w:b/>
          <w:bCs/>
          <w:color w:val="1F3864"/>
          <w:sz w:val="23"/>
          <w:szCs w:val="23"/>
        </w:rPr>
        <w:t xml:space="preserve">7. Fragmented data across Fusion pillars (ERP, SCM, HCM)</w:t>
      </w:r>
    </w:p>
    <w:p>
      <w:pPr>
        <w:spacing w:after="60"/>
        <w:ind w:left="360"/>
      </w:pPr>
      <w:r>
        <w:rPr>
          <w:sz w:val="22"/>
          <w:szCs w:val="22"/>
        </w:rPr>
        <w:t xml:space="preserve">Even within Oracle's own stack, customers struggle to deliver cross-pillar executive KPIs because HCM analytics are licensed and modeled separately from ERP and SCM analytics.</w:t>
      </w:r>
    </w:p>
    <w:p>
      <w:pPr>
        <w:spacing w:after="140"/>
        <w:ind w:left="360"/>
      </w:pPr>
      <w:r>
        <w:rPr>
          <w:i/>
          <w:iCs/>
          <w:color w:val="595959"/>
          <w:sz w:val="19"/>
          <w:szCs w:val="19"/>
        </w:rPr>
        <w:t xml:space="preserve">Source: Trinamix Oracle FDI partner site (Nov 2025)</w:t>
      </w:r>
    </w:p>
    <w:p>
      <w:pPr>
        <w:spacing w:after="60" w:before="140"/>
      </w:pPr>
      <w:r>
        <w:rPr>
          <w:b/>
          <w:bCs/>
          <w:color w:val="1F3864"/>
          <w:sz w:val="23"/>
          <w:szCs w:val="23"/>
        </w:rPr>
        <w:t xml:space="preserve">8. Slow, resource-intensive creation of custom reports beyond OOTB</w:t>
      </w:r>
    </w:p>
    <w:p>
      <w:pPr>
        <w:spacing w:after="60"/>
        <w:ind w:left="360"/>
      </w:pPr>
      <w:r>
        <w:rPr>
          <w:sz w:val="22"/>
          <w:szCs w:val="22"/>
        </w:rPr>
        <w:t xml:space="preserve">Custom KPIs, metrics, and reports are technically supported but practically slow to build, requiring partner consulting time. This is the same gap that drove customers to FDI from OTBI in the first place.</w:t>
      </w:r>
    </w:p>
    <w:p>
      <w:pPr>
        <w:spacing w:after="140"/>
        <w:ind w:left="360"/>
      </w:pPr>
      <w:r>
        <w:rPr>
          <w:i/>
          <w:iCs/>
          <w:color w:val="595959"/>
          <w:sz w:val="19"/>
          <w:szCs w:val="19"/>
        </w:rPr>
        <w:t xml:space="preserve">Source: Trinamix partner site (Nov 2025); Apps Associates blog (June 2025)</w:t>
      </w:r>
    </w:p>
    <w:p>
      <w:pPr>
        <w:spacing w:after="60" w:before="140"/>
      </w:pPr>
      <w:r>
        <w:rPr>
          <w:b/>
          <w:bCs/>
          <w:color w:val="1F3864"/>
          <w:sz w:val="23"/>
          <w:szCs w:val="23"/>
        </w:rPr>
        <w:t xml:space="preserve">9. No formatted P&amp;L / Balance Sheet financial statements out of the box</w:t>
      </w:r>
    </w:p>
    <w:p>
      <w:pPr>
        <w:spacing w:after="60"/>
        <w:ind w:left="360"/>
      </w:pPr>
      <w:r>
        <w:rPr>
          <w:sz w:val="22"/>
          <w:szCs w:val="22"/>
        </w:rPr>
        <w:t xml:space="preserve">While not HCM-only, customers running integrated workforce-cost analytics find that FDI does not ship with formatted Balance Sheet or Income Statement reports. Aggregation logic must be defined and built per chart of accounts.</w:t>
      </w:r>
    </w:p>
    <w:p>
      <w:pPr>
        <w:spacing w:after="140"/>
        <w:ind w:left="360"/>
      </w:pPr>
      <w:r>
        <w:rPr>
          <w:i/>
          <w:iCs/>
          <w:color w:val="595959"/>
          <w:sz w:val="19"/>
          <w:szCs w:val="19"/>
        </w:rPr>
        <w:t xml:space="preserve">Source: Apps Associates — Lessons Learned after 20 FDI Implementations (June 2025)</w:t>
      </w:r>
    </w:p>
    <w:p>
      <w:pPr>
        <w:spacing w:after="60" w:before="140"/>
      </w:pPr>
      <w:r>
        <w:rPr>
          <w:b/>
          <w:bCs/>
          <w:color w:val="1F3864"/>
          <w:sz w:val="23"/>
          <w:szCs w:val="23"/>
        </w:rPr>
        <w:t xml:space="preserve">10. Adoption fails when stakeholders don't feel a clear pain point</w:t>
      </w:r>
    </w:p>
    <w:p>
      <w:pPr>
        <w:spacing w:after="60"/>
        <w:ind w:left="360"/>
      </w:pPr>
      <w:r>
        <w:rPr>
          <w:sz w:val="22"/>
          <w:szCs w:val="22"/>
        </w:rPr>
        <w:t xml:space="preserve">Implementation partners explicitly warn that FDI rollouts fall flat when business users have not articulated a reporting problem in advance, indicating that change management and use-case discovery are recurring failure modes.</w:t>
      </w:r>
    </w:p>
    <w:p>
      <w:pPr>
        <w:spacing w:after="140"/>
        <w:ind w:left="360"/>
      </w:pPr>
      <w:r>
        <w:rPr>
          <w:i/>
          <w:iCs/>
          <w:color w:val="595959"/>
          <w:sz w:val="19"/>
          <w:szCs w:val="19"/>
        </w:rPr>
        <w:t xml:space="preserve">Source: Apps Associates blog (June 2025)</w:t>
      </w:r>
    </w:p>
    <w:p>
      <w:pPr>
        <w:pStyle w:val="Heading1"/>
        <w:spacing w:after="180" w:before="240"/>
      </w:pPr>
      <w:r>
        <w:rPr>
          <w:b/>
          <w:bCs/>
          <w:color w:val="1F3864"/>
          <w:sz w:val="32"/>
          <w:szCs w:val="32"/>
        </w:rPr>
        <w:t xml:space="preserve">2. Workday HCM Customers — Top 10 Pain Points</w:t>
      </w:r>
    </w:p>
    <w:p>
      <w:pPr>
        <w:spacing w:after="120"/>
      </w:pPr>
      <w:r>
        <w:rPr>
          <w:b w:val="false"/>
          <w:bCs w:val="false"/>
          <w:i/>
          <w:iCs/>
          <w:color w:val="000000"/>
          <w:sz w:val="21"/>
          <w:szCs w:val="21"/>
        </w:rPr>
        <w:t xml:space="preserve">Buyer profile: Mid-market and enterprise organizations (typically 1,000+ employees) using Workday's unified HR/payroll/talent platform. Pain points cluster around cost, UX friction, configuration rigidity, and support model.</w:t>
      </w:r>
    </w:p>
    <w:p>
      <w:pPr>
        <w:spacing w:after="60" w:before="140"/>
      </w:pPr>
      <w:r>
        <w:rPr>
          <w:b/>
          <w:bCs/>
          <w:color w:val="1F3864"/>
          <w:sz w:val="23"/>
          <w:szCs w:val="23"/>
        </w:rPr>
        <w:t xml:space="preserve">1. High and opaque total cost of ownership</w:t>
      </w:r>
    </w:p>
    <w:p>
      <w:pPr>
        <w:spacing w:after="60"/>
        <w:ind w:left="360"/>
      </w:pPr>
      <w:r>
        <w:rPr>
          <w:sz w:val="22"/>
          <w:szCs w:val="22"/>
        </w:rPr>
        <w:t xml:space="preserve">Custom enterprise pricing with software fees typically $34–$42 PEPM, and one-time implementation fees historically running 100–200% of annual software fees.</w:t>
      </w:r>
    </w:p>
    <w:p>
      <w:pPr>
        <w:spacing w:after="140"/>
        <w:ind w:left="360"/>
      </w:pPr>
      <w:r>
        <w:rPr>
          <w:i/>
          <w:iCs/>
          <w:color w:val="595959"/>
          <w:sz w:val="19"/>
          <w:szCs w:val="19"/>
        </w:rPr>
        <w:t xml:space="preserve">Source: Outsail Workday Reviews; Skima.ai Workday HCM Review 2026; GetApp</w:t>
      </w:r>
    </w:p>
    <w:p>
      <w:pPr>
        <w:spacing w:after="60" w:before="140"/>
      </w:pPr>
      <w:r>
        <w:rPr>
          <w:b/>
          <w:bCs/>
          <w:color w:val="1F3864"/>
          <w:sz w:val="23"/>
          <w:szCs w:val="23"/>
        </w:rPr>
        <w:t xml:space="preserve">2. Lengthy, resource-intensive implementations</w:t>
      </w:r>
    </w:p>
    <w:p>
      <w:pPr>
        <w:spacing w:after="60"/>
        <w:ind w:left="360"/>
      </w:pPr>
      <w:r>
        <w:rPr>
          <w:sz w:val="22"/>
          <w:szCs w:val="22"/>
        </w:rPr>
        <w:t xml:space="preserve">Enterprise Workday implementations typically take 5–9 months, with full deployments cited at 9–18 months. Even Launch Express is too fast for 500+ employee companies.</w:t>
      </w:r>
    </w:p>
    <w:p>
      <w:pPr>
        <w:spacing w:after="140"/>
        <w:ind w:left="360"/>
      </w:pPr>
      <w:r>
        <w:rPr>
          <w:i/>
          <w:iCs/>
          <w:color w:val="595959"/>
          <w:sz w:val="19"/>
          <w:szCs w:val="19"/>
        </w:rPr>
        <w:t xml:space="preserve">Source: HR Technology Advice; Outsail; Research.com Workday HCM Review 2026</w:t>
      </w:r>
    </w:p>
    <w:p>
      <w:pPr>
        <w:spacing w:after="60" w:before="140"/>
      </w:pPr>
      <w:r>
        <w:rPr>
          <w:b/>
          <w:bCs/>
          <w:color w:val="1F3864"/>
          <w:sz w:val="23"/>
          <w:szCs w:val="23"/>
        </w:rPr>
        <w:t xml:space="preserve">3. Steep learning curve and clunky UX</w:t>
      </w:r>
    </w:p>
    <w:p>
      <w:pPr>
        <w:spacing w:after="60"/>
        <w:ind w:left="360"/>
      </w:pPr>
      <w:r>
        <w:rPr>
          <w:sz w:val="22"/>
          <w:szCs w:val="22"/>
        </w:rPr>
        <w:t xml:space="preserve">Reviewers describe routine tasks as requiring excessive clicks, multiple page redirects, and cluttered menus with jargon.</w:t>
      </w:r>
    </w:p>
    <w:p>
      <w:pPr>
        <w:spacing w:after="140"/>
        <w:ind w:left="360"/>
      </w:pPr>
      <w:r>
        <w:rPr>
          <w:i/>
          <w:iCs/>
          <w:color w:val="595959"/>
          <w:sz w:val="19"/>
          <w:szCs w:val="19"/>
        </w:rPr>
        <w:t xml:space="preserve">Source: G2 Workday HCM reviews; Capterra; Software Advice</w:t>
      </w:r>
    </w:p>
    <w:p>
      <w:pPr>
        <w:spacing w:after="60" w:before="140"/>
      </w:pPr>
      <w:r>
        <w:rPr>
          <w:b/>
          <w:bCs/>
          <w:color w:val="1F3864"/>
          <w:sz w:val="23"/>
          <w:szCs w:val="23"/>
        </w:rPr>
        <w:t xml:space="preserve">4. Limited customization and rigid configuration</w:t>
      </w:r>
    </w:p>
    <w:p>
      <w:pPr>
        <w:spacing w:after="60"/>
        <w:ind w:left="360"/>
      </w:pPr>
      <w:r>
        <w:rPr>
          <w:sz w:val="22"/>
          <w:szCs w:val="22"/>
        </w:rPr>
        <w:t xml:space="preserve">Customers report that workflows feel rigid, configuration changes require deep system knowledge, and Studio integrations require coding.</w:t>
      </w:r>
    </w:p>
    <w:p>
      <w:pPr>
        <w:spacing w:after="140"/>
        <w:ind w:left="360"/>
      </w:pPr>
      <w:r>
        <w:rPr>
          <w:i/>
          <w:iCs/>
          <w:color w:val="595959"/>
          <w:sz w:val="19"/>
          <w:szCs w:val="19"/>
        </w:rPr>
        <w:t xml:space="preserve">Source: G2 Workday HCM reviews; Research.com Workday HCM Review 2026</w:t>
      </w:r>
    </w:p>
    <w:p>
      <w:pPr>
        <w:spacing w:after="60" w:before="140"/>
      </w:pPr>
      <w:r>
        <w:rPr>
          <w:b/>
          <w:bCs/>
          <w:color w:val="1F3864"/>
          <w:sz w:val="23"/>
          <w:szCs w:val="23"/>
        </w:rPr>
        <w:t xml:space="preserve">5. Slow customer support and ticket-based resolution</w:t>
      </w:r>
    </w:p>
    <w:p>
      <w:pPr>
        <w:spacing w:after="60"/>
        <w:ind w:left="360"/>
      </w:pPr>
      <w:r>
        <w:rPr>
          <w:sz w:val="22"/>
          <w:szCs w:val="22"/>
        </w:rPr>
        <w:t xml:space="preserve">Smaller Workday customers are routed through third-party support partners. Users report 72-hour ticket response times.</w:t>
      </w:r>
    </w:p>
    <w:p>
      <w:pPr>
        <w:spacing w:after="140"/>
        <w:ind w:left="360"/>
      </w:pPr>
      <w:r>
        <w:rPr>
          <w:i/>
          <w:iCs/>
          <w:color w:val="595959"/>
          <w:sz w:val="19"/>
          <w:szCs w:val="19"/>
        </w:rPr>
        <w:t xml:space="preserve">Source: GetApp Workday HCM support analysis; Software Advice; Capterra</w:t>
      </w:r>
    </w:p>
    <w:p>
      <w:pPr>
        <w:spacing w:after="60" w:before="140"/>
      </w:pPr>
      <w:r>
        <w:rPr>
          <w:b/>
          <w:bCs/>
          <w:color w:val="1F3864"/>
          <w:sz w:val="23"/>
          <w:szCs w:val="23"/>
        </w:rPr>
        <w:t xml:space="preserve">6. Reporting and analytics complexity</w:t>
      </w:r>
    </w:p>
    <w:p>
      <w:pPr>
        <w:spacing w:after="60"/>
        <w:ind w:left="360"/>
      </w:pPr>
      <w:r>
        <w:rPr>
          <w:sz w:val="22"/>
          <w:szCs w:val="22"/>
        </w:rPr>
        <w:t xml:space="preserve">Large customers cite slow report response times, page load delays, and limited customization for advanced reporting.</w:t>
      </w:r>
    </w:p>
    <w:p>
      <w:pPr>
        <w:spacing w:after="140"/>
        <w:ind w:left="360"/>
      </w:pPr>
      <w:r>
        <w:rPr>
          <w:i/>
          <w:iCs/>
          <w:color w:val="595959"/>
          <w:sz w:val="19"/>
          <w:szCs w:val="19"/>
        </w:rPr>
        <w:t xml:space="preserve">Source: Skima.ai Workday HCM Review 2026; Software Advice reviews</w:t>
      </w:r>
    </w:p>
    <w:p>
      <w:pPr>
        <w:spacing w:after="60" w:before="140"/>
      </w:pPr>
      <w:r>
        <w:rPr>
          <w:b/>
          <w:bCs/>
          <w:color w:val="1F3864"/>
          <w:sz w:val="23"/>
          <w:szCs w:val="23"/>
        </w:rPr>
        <w:t xml:space="preserve">7. Recruiting (ATS) module weaker than specialized tools</w:t>
      </w:r>
    </w:p>
    <w:p>
      <w:pPr>
        <w:spacing w:after="60"/>
        <w:ind w:left="360"/>
      </w:pPr>
      <w:r>
        <w:rPr>
          <w:sz w:val="22"/>
          <w:szCs w:val="22"/>
        </w:rPr>
        <w:t xml:space="preserve">Workday's ATS is built to feed hires into the HRIS, not to optimize sourcing.</w:t>
      </w:r>
    </w:p>
    <w:p>
      <w:pPr>
        <w:spacing w:after="140"/>
        <w:ind w:left="360"/>
      </w:pPr>
      <w:r>
        <w:rPr>
          <w:i/>
          <w:iCs/>
          <w:color w:val="595959"/>
          <w:sz w:val="19"/>
          <w:szCs w:val="19"/>
        </w:rPr>
        <w:t xml:space="preserve">Source: Skima.ai Workday HCM Review 2026; G2</w:t>
      </w:r>
    </w:p>
    <w:p>
      <w:pPr>
        <w:spacing w:after="60" w:before="140"/>
      </w:pPr>
      <w:r>
        <w:rPr>
          <w:b/>
          <w:bCs/>
          <w:color w:val="1F3864"/>
          <w:sz w:val="23"/>
          <w:szCs w:val="23"/>
        </w:rPr>
        <w:t xml:space="preserve">8. Mobile experience gaps</w:t>
      </w:r>
    </w:p>
    <w:p>
      <w:pPr>
        <w:spacing w:after="60"/>
        <w:ind w:left="360"/>
      </w:pPr>
      <w:r>
        <w:rPr>
          <w:sz w:val="22"/>
          <w:szCs w:val="22"/>
        </w:rPr>
        <w:t xml:space="preserve">Reviewers cite sign-on issues, an unintuitive mobile app, and feature parity gaps with desktop.</w:t>
      </w:r>
    </w:p>
    <w:p>
      <w:pPr>
        <w:spacing w:after="140"/>
        <w:ind w:left="360"/>
      </w:pPr>
      <w:r>
        <w:rPr>
          <w:i/>
          <w:iCs/>
          <w:color w:val="595959"/>
          <w:sz w:val="19"/>
          <w:szCs w:val="19"/>
        </w:rPr>
        <w:t xml:space="preserve">Source: G2 Workday Compensation reviews; Skima.ai</w:t>
      </w:r>
    </w:p>
    <w:p>
      <w:pPr>
        <w:spacing w:after="60" w:before="140"/>
      </w:pPr>
      <w:r>
        <w:rPr>
          <w:b/>
          <w:bCs/>
          <w:color w:val="1F3864"/>
          <w:sz w:val="23"/>
          <w:szCs w:val="23"/>
        </w:rPr>
        <w:t xml:space="preserve">9. Community and roadmap concerns under recent strategy shift</w:t>
      </w:r>
    </w:p>
    <w:p>
      <w:pPr>
        <w:spacing w:after="60"/>
        <w:ind w:left="360"/>
      </w:pPr>
      <w:r>
        <w:rPr>
          <w:sz w:val="22"/>
          <w:szCs w:val="22"/>
        </w:rPr>
        <w:t xml:space="preserve">Long-tenured Workday administrators have publicly criticized the removal of historical Community content, the elimination of regular Next Levels, and a shift toward Agentic AI features.</w:t>
      </w:r>
    </w:p>
    <w:p>
      <w:pPr>
        <w:spacing w:after="140"/>
        <w:ind w:left="360"/>
      </w:pPr>
      <w:r>
        <w:rPr>
          <w:i/>
          <w:iCs/>
          <w:color w:val="595959"/>
          <w:sz w:val="19"/>
          <w:szCs w:val="19"/>
        </w:rPr>
        <w:t xml:space="preserve">Source: G2 Workday HCM verified user review</w:t>
      </w:r>
    </w:p>
    <w:p>
      <w:pPr>
        <w:spacing w:after="60" w:before="140"/>
      </w:pPr>
      <w:r>
        <w:rPr>
          <w:b/>
          <w:bCs/>
          <w:color w:val="1F3864"/>
          <w:sz w:val="23"/>
          <w:szCs w:val="23"/>
        </w:rPr>
        <w:t xml:space="preserve">10. Implementation methodology often rushed, leading to rework</w:t>
      </w:r>
    </w:p>
    <w:p>
      <w:pPr>
        <w:spacing w:after="60"/>
        <w:ind w:left="360"/>
      </w:pPr>
      <w:r>
        <w:rPr>
          <w:sz w:val="22"/>
          <w:szCs w:val="22"/>
        </w:rPr>
        <w:t xml:space="preserve">Customers report Launch Express timelines leave too little time for data audit, configuration, and testing — resulting in modules being reconfigured entirely after go-live.</w:t>
      </w:r>
    </w:p>
    <w:p>
      <w:pPr>
        <w:spacing w:after="140"/>
        <w:ind w:left="360"/>
      </w:pPr>
      <w:r>
        <w:rPr>
          <w:i/>
          <w:iCs/>
          <w:color w:val="595959"/>
          <w:sz w:val="19"/>
          <w:szCs w:val="19"/>
        </w:rPr>
        <w:t xml:space="preserve">Source: HR Technology Advice — Workday HCM customer testimonial</w:t>
      </w:r>
    </w:p>
    <w:p>
      <w:pPr>
        <w:pStyle w:val="Heading1"/>
        <w:spacing w:after="180" w:before="240"/>
      </w:pPr>
      <w:r>
        <w:rPr>
          <w:b/>
          <w:bCs/>
          <w:color w:val="1F3864"/>
          <w:sz w:val="32"/>
          <w:szCs w:val="32"/>
        </w:rPr>
        <w:t xml:space="preserve">3. SMB HCM Customers (Rippling, BambooHR, Gusto) — Top 10 Pain Points</w:t>
      </w:r>
    </w:p>
    <w:p>
      <w:pPr>
        <w:spacing w:after="120"/>
      </w:pPr>
      <w:r>
        <w:rPr>
          <w:b w:val="false"/>
          <w:bCs w:val="false"/>
          <w:i/>
          <w:iCs/>
          <w:color w:val="000000"/>
          <w:sz w:val="21"/>
          <w:szCs w:val="21"/>
        </w:rPr>
        <w:t xml:space="preserve">Buyer profile: Small and mid-sized businesses (typically &lt;500 employees) using consumer-grade, fast-deploy HR/payroll platforms. Pain points cluster around support quality, payroll/tax accuracy, pricing opacity, and feature ceilings as customers scale.</w:t>
      </w:r>
    </w:p>
    <w:p>
      <w:pPr>
        <w:spacing w:after="60" w:before="140"/>
      </w:pPr>
      <w:r>
        <w:rPr>
          <w:b/>
          <w:bCs/>
          <w:color w:val="1F3864"/>
          <w:sz w:val="23"/>
          <w:szCs w:val="23"/>
        </w:rPr>
        <w:t xml:space="preserve">1. Customer support quality and access</w:t>
      </w:r>
    </w:p>
    <w:p>
      <w:pPr>
        <w:spacing w:after="60"/>
        <w:ind w:left="360"/>
      </w:pPr>
      <w:r>
        <w:rPr>
          <w:sz w:val="22"/>
          <w:szCs w:val="22"/>
        </w:rPr>
        <w:t xml:space="preserve">Gusto: AI-bot loops, no path to assigned specialists, 45+ email exchanges per issue. Rippling: chatbot-first triage, live support restricted to admins only. BambooHR: inconsistent email domains, hard-to-reach agents.</w:t>
      </w:r>
    </w:p>
    <w:p>
      <w:pPr>
        <w:spacing w:after="140"/>
        <w:ind w:left="360"/>
      </w:pPr>
      <w:r>
        <w:rPr>
          <w:i/>
          <w:iCs/>
          <w:color w:val="595959"/>
          <w:sz w:val="19"/>
          <w:szCs w:val="19"/>
        </w:rPr>
        <w:t xml:space="preserve">Source: BBB Gusto complaints (2025–2026); Connecteam Rippling review (Jan 2025); Trustpilot BambooHR</w:t>
      </w:r>
    </w:p>
    <w:p>
      <w:pPr>
        <w:spacing w:after="60" w:before="140"/>
      </w:pPr>
      <w:r>
        <w:rPr>
          <w:b/>
          <w:bCs/>
          <w:color w:val="1F3864"/>
          <w:sz w:val="23"/>
          <w:szCs w:val="23"/>
        </w:rPr>
        <w:t xml:space="preserve">2. Payroll and tax-filing failures with material customer impact</w:t>
      </w:r>
    </w:p>
    <w:p>
      <w:pPr>
        <w:spacing w:after="60"/>
        <w:ind w:left="360"/>
      </w:pPr>
      <w:r>
        <w:rPr>
          <w:sz w:val="22"/>
          <w:szCs w:val="22"/>
        </w:rPr>
        <w:t xml:space="preserve">Gusto BBB complaints document failed quarterly tax filings, NSF events, W-2-C errors customers paid outside accountants to fix, and charges for next-day payroll the system could not deliver.</w:t>
      </w:r>
    </w:p>
    <w:p>
      <w:pPr>
        <w:spacing w:after="140"/>
        <w:ind w:left="360"/>
      </w:pPr>
      <w:r>
        <w:rPr>
          <w:i/>
          <w:iCs/>
          <w:color w:val="595959"/>
          <w:sz w:val="19"/>
          <w:szCs w:val="19"/>
        </w:rPr>
        <w:t xml:space="preserve">Source: BBB Gusto customer reviews &amp; complaints; Trustpilot Gusto</w:t>
      </w:r>
    </w:p>
    <w:p>
      <w:pPr>
        <w:spacing w:after="60" w:before="140"/>
      </w:pPr>
      <w:r>
        <w:rPr>
          <w:b/>
          <w:bCs/>
          <w:color w:val="1F3864"/>
          <w:sz w:val="23"/>
          <w:szCs w:val="23"/>
        </w:rPr>
        <w:t xml:space="preserve">3. Pricing opacity and add-on cost creep</w:t>
      </w:r>
    </w:p>
    <w:p>
      <w:pPr>
        <w:spacing w:after="60"/>
        <w:ind w:left="360"/>
      </w:pPr>
      <w:r>
        <w:rPr>
          <w:sz w:val="22"/>
          <w:szCs w:val="22"/>
        </w:rPr>
        <w:t xml:space="preserve">Rippling: implementation fees of 5–15% of annual contract not disclosed upfront. Gusto: per-employee fees rise quickly with add-ons. BambooHR: premium add-ons (performance, compensation) significantly increase total cost.</w:t>
      </w:r>
    </w:p>
    <w:p>
      <w:pPr>
        <w:spacing w:after="140"/>
        <w:ind w:left="360"/>
      </w:pPr>
      <w:r>
        <w:rPr>
          <w:i/>
          <w:iCs/>
          <w:color w:val="595959"/>
          <w:sz w:val="19"/>
          <w:szCs w:val="19"/>
        </w:rPr>
        <w:t xml:space="preserve">Source: HRStacks Rippling Review 2026; Capterra Gusto; Juicebox.ai BambooHR Reviews 2026</w:t>
      </w:r>
    </w:p>
    <w:p>
      <w:pPr>
        <w:spacing w:after="60" w:before="140"/>
      </w:pPr>
      <w:r>
        <w:rPr>
          <w:b/>
          <w:bCs/>
          <w:color w:val="1F3864"/>
          <w:sz w:val="23"/>
          <w:szCs w:val="23"/>
        </w:rPr>
        <w:t xml:space="preserve">4. Limited customization for complex workflows</w:t>
      </w:r>
    </w:p>
    <w:p>
      <w:pPr>
        <w:spacing w:after="60"/>
        <w:ind w:left="360"/>
      </w:pPr>
      <w:r>
        <w:rPr>
          <w:sz w:val="22"/>
          <w:szCs w:val="22"/>
        </w:rPr>
        <w:t xml:space="preserve">BambooHR: easy but inflexible — limited custom fields, rigid time-off accruals. Gusto: limited reporting customization. Both struggle when companies cross ~150–250 employees.</w:t>
      </w:r>
    </w:p>
    <w:p>
      <w:pPr>
        <w:spacing w:after="140"/>
        <w:ind w:left="360"/>
      </w:pPr>
      <w:r>
        <w:rPr>
          <w:i/>
          <w:iCs/>
          <w:color w:val="595959"/>
          <w:sz w:val="19"/>
          <w:szCs w:val="19"/>
        </w:rPr>
        <w:t xml:space="preserve">Source: G2 BambooHR reviews; Capterra BambooHR; Outsail; Capterra Gusto</w:t>
      </w:r>
    </w:p>
    <w:p>
      <w:pPr>
        <w:spacing w:after="60" w:before="140"/>
      </w:pPr>
      <w:r>
        <w:rPr>
          <w:b/>
          <w:bCs/>
          <w:color w:val="1F3864"/>
          <w:sz w:val="23"/>
          <w:szCs w:val="23"/>
        </w:rPr>
        <w:t xml:space="preserve">5. Reporting and analytics weakness</w:t>
      </w:r>
    </w:p>
    <w:p>
      <w:pPr>
        <w:spacing w:after="60"/>
        <w:ind w:left="360"/>
      </w:pPr>
      <w:r>
        <w:rPr>
          <w:sz w:val="22"/>
          <w:szCs w:val="22"/>
        </w:rPr>
        <w:t xml:space="preserve">Rippling reports called extremely difficult to build. BambooHR forces spreadsheet exports for deep analysis. Gusto reporting limited vs. dedicated HR platforms.</w:t>
      </w:r>
    </w:p>
    <w:p>
      <w:pPr>
        <w:spacing w:after="140"/>
        <w:ind w:left="360"/>
      </w:pPr>
      <w:r>
        <w:rPr>
          <w:i/>
          <w:iCs/>
          <w:color w:val="595959"/>
          <w:sz w:val="19"/>
          <w:szCs w:val="19"/>
        </w:rPr>
        <w:t xml:space="preserve">Source: Capterra Rippling; Juicebox.ai BambooHR Reviews 2026; Capterra Gusto</w:t>
      </w:r>
    </w:p>
    <w:p>
      <w:pPr>
        <w:spacing w:after="60" w:before="140"/>
      </w:pPr>
      <w:r>
        <w:rPr>
          <w:b/>
          <w:bCs/>
          <w:color w:val="1F3864"/>
          <w:sz w:val="23"/>
          <w:szCs w:val="23"/>
        </w:rPr>
        <w:t xml:space="preserve">6. Steep learning curve from all-in-one breadth (especially Rippling)</w:t>
      </w:r>
    </w:p>
    <w:p>
      <w:pPr>
        <w:spacing w:after="60"/>
        <w:ind w:left="360"/>
      </w:pPr>
      <w:r>
        <w:rPr>
          <w:sz w:val="22"/>
          <w:szCs w:val="22"/>
        </w:rPr>
        <w:t xml:space="preserve">Rippling's breadth (HR + IT + finance + spend) creates initial admin complexity.</w:t>
      </w:r>
    </w:p>
    <w:p>
      <w:pPr>
        <w:spacing w:after="140"/>
        <w:ind w:left="360"/>
      </w:pPr>
      <w:r>
        <w:rPr>
          <w:i/>
          <w:iCs/>
          <w:color w:val="595959"/>
          <w:sz w:val="19"/>
          <w:szCs w:val="19"/>
        </w:rPr>
        <w:t xml:space="preserve">Source: Capterra Rippling reviews; HRStacks Rippling Review 2026</w:t>
      </w:r>
    </w:p>
    <w:p>
      <w:pPr>
        <w:spacing w:after="60" w:before="140"/>
      </w:pPr>
      <w:r>
        <w:rPr>
          <w:b/>
          <w:bCs/>
          <w:color w:val="1F3864"/>
          <w:sz w:val="23"/>
          <w:szCs w:val="23"/>
        </w:rPr>
        <w:t xml:space="preserve">7. Integration and feature gaps as customers scale</w:t>
      </w:r>
    </w:p>
    <w:p>
      <w:pPr>
        <w:spacing w:after="60"/>
        <w:ind w:left="360"/>
      </w:pPr>
      <w:r>
        <w:rPr>
          <w:sz w:val="22"/>
          <w:szCs w:val="22"/>
        </w:rPr>
        <w:t xml:space="preserve">BambooHR's ATS viewed as an afterthought. Rippling lacks a true rehire process and leave-of-absence mechanism. Gusto's reporting and mobile manager experience lag dedicated HR platforms.</w:t>
      </w:r>
    </w:p>
    <w:p>
      <w:pPr>
        <w:spacing w:after="140"/>
        <w:ind w:left="360"/>
      </w:pPr>
      <w:r>
        <w:rPr>
          <w:i/>
          <w:iCs/>
          <w:color w:val="595959"/>
          <w:sz w:val="19"/>
          <w:szCs w:val="19"/>
        </w:rPr>
        <w:t xml:space="preserve">Source: SelectSoftware Reviews — BambooHR Expert Review 2026; G2 Rippling; Capterra Gusto</w:t>
      </w:r>
    </w:p>
    <w:p>
      <w:pPr>
        <w:spacing w:after="60" w:before="140"/>
      </w:pPr>
      <w:r>
        <w:rPr>
          <w:b/>
          <w:bCs/>
          <w:color w:val="1F3864"/>
          <w:sz w:val="23"/>
          <w:szCs w:val="23"/>
        </w:rPr>
        <w:t xml:space="preserve">8. Mobile app limitations</w:t>
      </w:r>
    </w:p>
    <w:p>
      <w:pPr>
        <w:spacing w:after="60"/>
        <w:ind w:left="360"/>
      </w:pPr>
      <w:r>
        <w:rPr>
          <w:sz w:val="22"/>
          <w:szCs w:val="22"/>
        </w:rPr>
        <w:t xml:space="preserve">BambooHR's mobile app slow and missing features. Rippling's mobile app occasionally buggy. Gusto's mobile manager functionality limited.</w:t>
      </w:r>
    </w:p>
    <w:p>
      <w:pPr>
        <w:spacing w:after="140"/>
        <w:ind w:left="360"/>
      </w:pPr>
      <w:r>
        <w:rPr>
          <w:i/>
          <w:iCs/>
          <w:color w:val="595959"/>
          <w:sz w:val="19"/>
          <w:szCs w:val="19"/>
        </w:rPr>
        <w:t xml:space="preserve">Source: Jibble.io BambooHR review (May 2025); G2 Rippling; Capterra Gusto</w:t>
      </w:r>
    </w:p>
    <w:p>
      <w:pPr>
        <w:spacing w:after="60" w:before="140"/>
      </w:pPr>
      <w:r>
        <w:rPr>
          <w:b/>
          <w:bCs/>
          <w:color w:val="1F3864"/>
          <w:sz w:val="23"/>
          <w:szCs w:val="23"/>
        </w:rPr>
        <w:t xml:space="preserve">9. Compliance and global/local payroll gaps</w:t>
      </w:r>
    </w:p>
    <w:p>
      <w:pPr>
        <w:spacing w:after="60"/>
        <w:ind w:left="360"/>
      </w:pPr>
      <w:r>
        <w:rPr>
          <w:sz w:val="22"/>
          <w:szCs w:val="22"/>
        </w:rPr>
        <w:t xml:space="preserve">Rippling's EOR coverage stops at ~80 countries with gaps in APAC, Africa, parts of LatAm. Local tax compliance issues require manual calculation. Gusto compliance gaps in seasonal employee handling.</w:t>
      </w:r>
    </w:p>
    <w:p>
      <w:pPr>
        <w:spacing w:after="140"/>
        <w:ind w:left="360"/>
      </w:pPr>
      <w:r>
        <w:rPr>
          <w:i/>
          <w:iCs/>
          <w:color w:val="595959"/>
          <w:sz w:val="19"/>
          <w:szCs w:val="19"/>
        </w:rPr>
        <w:t xml:space="preserve">Source: HRStacks Rippling Review 2026; G2 Rippling; BBB Gusto complaints</w:t>
      </w:r>
    </w:p>
    <w:p>
      <w:pPr>
        <w:spacing w:after="60" w:before="140"/>
      </w:pPr>
      <w:r>
        <w:rPr>
          <w:b/>
          <w:bCs/>
          <w:color w:val="1F3864"/>
          <w:sz w:val="23"/>
          <w:szCs w:val="23"/>
        </w:rPr>
        <w:t xml:space="preserve">10. Implementation and onboarding friction</w:t>
      </w:r>
    </w:p>
    <w:p>
      <w:pPr>
        <w:spacing w:after="60"/>
        <w:ind w:left="360"/>
      </w:pPr>
      <w:r>
        <w:rPr>
          <w:sz w:val="22"/>
          <w:szCs w:val="22"/>
        </w:rPr>
        <w:t xml:space="preserve">Rippling payroll implementation teams missed expectations. Gusto onboarding pain points include unverified bank accounts, missing agency registrations.</w:t>
      </w:r>
    </w:p>
    <w:p>
      <w:pPr>
        <w:spacing w:after="140"/>
        <w:ind w:left="360"/>
      </w:pPr>
      <w:r>
        <w:rPr>
          <w:i/>
          <w:iCs/>
          <w:color w:val="595959"/>
          <w:sz w:val="19"/>
          <w:szCs w:val="19"/>
        </w:rPr>
        <w:t xml:space="preserve">Source: Capterra Rippling; Nav.com Gusto Payroll Review 2026; Outsail BambooHR</w:t>
      </w:r>
    </w:p>
    <w:p>
      <w:pPr>
        <w:pStyle w:val="Heading1"/>
        <w:spacing w:after="180" w:before="240"/>
      </w:pPr>
      <w:r>
        <w:rPr>
          <w:b/>
          <w:bCs/>
          <w:color w:val="1F3864"/>
          <w:sz w:val="32"/>
          <w:szCs w:val="32"/>
        </w:rPr>
        <w:t xml:space="preserve">4. Cross-Vendor Analysis: Top 5 Most Painful HCM Subject Areas</w:t>
      </w:r>
    </w:p>
    <w:p>
      <w:pPr>
        <w:spacing w:after="120"/>
      </w:pPr>
      <w:r>
        <w:rPr>
          <w:b w:val="false"/>
          <w:bCs w:val="false"/>
          <w:i/>
          <w:iCs/>
          <w:color w:val="000000"/>
          <w:sz w:val="21"/>
          <w:szCs w:val="21"/>
        </w:rPr>
        <w:t xml:space="preserve">This section consolidates pain themes across all major HCM vendors — Oracle Fusion HCM, Workday, SAP SuccessFactors, UKG, Dayforce, ADP, Rippling, BambooHR, Gusto, and others. The five subject areas below appear consistently regardless of vendor or buyer size.</w:t>
      </w:r>
    </w:p>
    <w:p>
      <w:pPr>
        <w:pStyle w:val="Heading2"/>
        <w:spacing w:after="140" w:before="200"/>
      </w:pPr>
      <w:r>
        <w:rPr>
          <w:b/>
          <w:bCs/>
          <w:color w:val="2E75B6"/>
          <w:sz w:val="26"/>
          <w:szCs w:val="26"/>
        </w:rPr>
        <w:t xml:space="preserve">#1 Reporting &amp; Analytics — The Universal Pain Point</w:t>
      </w:r>
    </w:p>
    <w:p>
      <w:pPr>
        <w:spacing w:after="120"/>
      </w:pPr>
      <w:r>
        <w:rPr>
          <w:b w:val="false"/>
          <w:bCs w:val="false"/>
          <w:i w:val="false"/>
          <w:iCs w:val="false"/>
          <w:color w:val="000000"/>
          <w:sz w:val="22"/>
          <w:szCs w:val="22"/>
        </w:rPr>
        <w:t xml:space="preserve">This is the single most frequently complained-about subject area in HCM, cited in nearly every vendor's review base. The pattern is consistent: out-of-the-box reports rarely match customer needs, and self-service customization requires technical expertise the HR team doesn't have.</w:t>
      </w:r>
    </w:p>
    <w:p>
      <w:pPr>
        <w:pStyle w:val="ListParagraph"/>
        <w:numPr>
          <w:ilvl w:val="0"/>
          <w:numId w:val="2"/>
        </w:numPr>
        <w:spacing w:after="80"/>
      </w:pPr>
      <w:r>
        <w:rPr>
          <w:sz w:val="22"/>
          <w:szCs w:val="22"/>
        </w:rPr>
        <w:t xml:space="preserve">Workday: slow report response times, page-load delays, limited customization on large datasets (Skima.ai)</w:t>
      </w:r>
    </w:p>
    <w:p>
      <w:pPr>
        <w:pStyle w:val="ListParagraph"/>
        <w:numPr>
          <w:ilvl w:val="0"/>
          <w:numId w:val="2"/>
        </w:numPr>
        <w:spacing w:after="80"/>
      </w:pPr>
      <w:r>
        <w:rPr>
          <w:sz w:val="22"/>
          <w:szCs w:val="22"/>
        </w:rPr>
        <w:t xml:space="preserve">Oracle FDI HCM: OOTB content doesn't fit, dependence on technical experts, data sync/accuracy issues, lack of documentation (Gartner Peer Insights)</w:t>
      </w:r>
    </w:p>
    <w:p>
      <w:pPr>
        <w:pStyle w:val="ListParagraph"/>
        <w:numPr>
          <w:ilvl w:val="0"/>
          <w:numId w:val="2"/>
        </w:numPr>
        <w:spacing w:after="80"/>
      </w:pPr>
      <w:r>
        <w:rPr>
          <w:sz w:val="22"/>
          <w:szCs w:val="22"/>
        </w:rPr>
        <w:t xml:space="preserve">Rippling: report-building called extremely difficult for precise needs (Capterra)</w:t>
      </w:r>
    </w:p>
    <w:p>
      <w:pPr>
        <w:pStyle w:val="ListParagraph"/>
        <w:numPr>
          <w:ilvl w:val="0"/>
          <w:numId w:val="2"/>
        </w:numPr>
        <w:spacing w:after="80"/>
      </w:pPr>
      <w:r>
        <w:rPr>
          <w:sz w:val="22"/>
          <w:szCs w:val="22"/>
        </w:rPr>
        <w:t xml:space="preserve">BambooHR: forces spreadsheet exports for deep analysis; Limited Customization is the #1 dislike theme on G2</w:t>
      </w:r>
    </w:p>
    <w:p>
      <w:pPr>
        <w:pStyle w:val="ListParagraph"/>
        <w:numPr>
          <w:ilvl w:val="0"/>
          <w:numId w:val="2"/>
        </w:numPr>
        <w:spacing w:after="80"/>
      </w:pPr>
      <w:r>
        <w:rPr>
          <w:sz w:val="22"/>
          <w:szCs w:val="22"/>
        </w:rPr>
        <w:t xml:space="preserve">Gusto: reporting limited compared to dedicated HR platforms (Capterra)</w:t>
      </w:r>
    </w:p>
    <w:p>
      <w:pPr>
        <w:pStyle w:val="ListParagraph"/>
        <w:numPr>
          <w:ilvl w:val="0"/>
          <w:numId w:val="2"/>
        </w:numPr>
        <w:spacing w:after="80"/>
      </w:pPr>
      <w:r>
        <w:rPr>
          <w:sz w:val="22"/>
          <w:szCs w:val="22"/>
        </w:rPr>
        <w:t xml:space="preserve">SAP SuccessFactors: needs to advance built-in analytics (PeerSpot)</w:t>
      </w:r>
    </w:p>
    <w:p>
      <w:pPr>
        <w:spacing w:after="120"/>
      </w:pPr>
      <w:r>
        <w:rPr>
          <w:b w:val="false"/>
          <w:bCs w:val="false"/>
          <w:i/>
          <w:iCs/>
          <w:color w:val="595959"/>
          <w:sz w:val="19"/>
          <w:szCs w:val="19"/>
        </w:rPr>
        <w:t xml:space="preserve">Source: Gartner Peer Insights, G2, Capterra, Software Advice, PeerSpot, Skima.ai (aggregated 2024–2026).</w:t>
      </w:r>
    </w:p>
    <w:p>
      <w:pPr>
        <w:pStyle w:val="Heading2"/>
        <w:spacing w:after="140" w:before="200"/>
      </w:pPr>
      <w:r>
        <w:rPr>
          <w:b/>
          <w:bCs/>
          <w:color w:val="2E75B6"/>
          <w:sz w:val="26"/>
          <w:szCs w:val="26"/>
        </w:rPr>
        <w:t xml:space="preserve">#2 Payroll &amp; Tax Compliance Accuracy</w:t>
      </w:r>
    </w:p>
    <w:p>
      <w:pPr>
        <w:spacing w:after="120"/>
      </w:pPr>
      <w:r>
        <w:rPr>
          <w:b w:val="false"/>
          <w:bCs w:val="false"/>
          <w:i w:val="false"/>
          <w:iCs w:val="false"/>
          <w:color w:val="000000"/>
          <w:sz w:val="22"/>
          <w:szCs w:val="22"/>
        </w:rPr>
        <w:t xml:space="preserve">The highest-severity complaints in the entire HCM customer base concern payroll. PwC's 2025 Global Payroll Survey found 72% of multinationals incurred at least one payroll penalty, averaging $250,000 in the prior 24 months.</w:t>
      </w:r>
    </w:p>
    <w:p>
      <w:pPr>
        <w:pStyle w:val="ListParagraph"/>
        <w:numPr>
          <w:ilvl w:val="0"/>
          <w:numId w:val="2"/>
        </w:numPr>
        <w:spacing w:after="80"/>
      </w:pPr>
      <w:r>
        <w:rPr>
          <w:sz w:val="22"/>
          <w:szCs w:val="22"/>
        </w:rPr>
        <w:t xml:space="preserve">Gusto BBB record: failed quarterly tax filings, NSF events, W-2-C errors customers paid outside accountants to fix</w:t>
      </w:r>
    </w:p>
    <w:p>
      <w:pPr>
        <w:pStyle w:val="ListParagraph"/>
        <w:numPr>
          <w:ilvl w:val="0"/>
          <w:numId w:val="2"/>
        </w:numPr>
        <w:spacing w:after="80"/>
      </w:pPr>
      <w:r>
        <w:rPr>
          <w:sz w:val="22"/>
          <w:szCs w:val="22"/>
        </w:rPr>
        <w:t xml:space="preserve">Rippling: local tax non-compliance forcing manual calculation</w:t>
      </w:r>
    </w:p>
    <w:p>
      <w:pPr>
        <w:pStyle w:val="ListParagraph"/>
        <w:numPr>
          <w:ilvl w:val="0"/>
          <w:numId w:val="2"/>
        </w:numPr>
        <w:spacing w:after="80"/>
      </w:pPr>
      <w:r>
        <w:rPr>
          <w:sz w:val="22"/>
          <w:szCs w:val="22"/>
        </w:rPr>
        <w:t xml:space="preserve">SAP SuccessFactors: friction integrating recruitment with payroll</w:t>
      </w:r>
    </w:p>
    <w:p>
      <w:pPr>
        <w:pStyle w:val="ListParagraph"/>
        <w:numPr>
          <w:ilvl w:val="0"/>
          <w:numId w:val="2"/>
        </w:numPr>
        <w:spacing w:after="80"/>
      </w:pPr>
      <w:r>
        <w:rPr>
          <w:sz w:val="22"/>
          <w:szCs w:val="22"/>
        </w:rPr>
        <w:t xml:space="preserve">Multinationals: India GST, China province social-insurance matrices, EU AI Act add penalty exposure</w:t>
      </w:r>
    </w:p>
    <w:p>
      <w:pPr>
        <w:spacing w:after="120"/>
      </w:pPr>
      <w:r>
        <w:rPr>
          <w:b w:val="false"/>
          <w:bCs w:val="false"/>
          <w:i/>
          <w:iCs/>
          <w:color w:val="595959"/>
          <w:sz w:val="19"/>
          <w:szCs w:val="19"/>
        </w:rPr>
        <w:t xml:space="preserve">Source: BBB Gusto complaints; PwC 2025 Global Payroll Survey via Mordor Intelligence (Feb 2026).</w:t>
      </w:r>
    </w:p>
    <w:p>
      <w:pPr>
        <w:pStyle w:val="Heading2"/>
        <w:spacing w:after="140" w:before="200"/>
      </w:pPr>
      <w:r>
        <w:rPr>
          <w:b/>
          <w:bCs/>
          <w:color w:val="2E75B6"/>
          <w:sz w:val="26"/>
          <w:szCs w:val="26"/>
        </w:rPr>
        <w:t xml:space="preserve">#3 Customer Support &amp; Service Quality</w:t>
      </w:r>
    </w:p>
    <w:p>
      <w:pPr>
        <w:spacing w:after="120"/>
      </w:pPr>
      <w:r>
        <w:rPr>
          <w:b w:val="false"/>
          <w:bCs w:val="false"/>
          <w:i w:val="false"/>
          <w:iCs w:val="false"/>
          <w:color w:val="000000"/>
          <w:sz w:val="22"/>
          <w:szCs w:val="22"/>
        </w:rPr>
        <w:t xml:space="preserve">Across every vendor tier, support is a top dislike.</w:t>
      </w:r>
    </w:p>
    <w:p>
      <w:pPr>
        <w:pStyle w:val="ListParagraph"/>
        <w:numPr>
          <w:ilvl w:val="0"/>
          <w:numId w:val="2"/>
        </w:numPr>
        <w:spacing w:after="80"/>
      </w:pPr>
      <w:r>
        <w:rPr>
          <w:sz w:val="22"/>
          <w:szCs w:val="22"/>
        </w:rPr>
        <w:t xml:space="preserve">Workday: 72-hour ticket response times, no live assistance, smaller customers routed to third-party support partners</w:t>
      </w:r>
    </w:p>
    <w:p>
      <w:pPr>
        <w:pStyle w:val="ListParagraph"/>
        <w:numPr>
          <w:ilvl w:val="0"/>
          <w:numId w:val="2"/>
        </w:numPr>
        <w:spacing w:after="80"/>
      </w:pPr>
      <w:r>
        <w:rPr>
          <w:sz w:val="22"/>
          <w:szCs w:val="22"/>
        </w:rPr>
        <w:t xml:space="preserve">Gusto: AI-bot loops, no path to assigned specialists, 45+ email exchanges per issue</w:t>
      </w:r>
    </w:p>
    <w:p>
      <w:pPr>
        <w:pStyle w:val="ListParagraph"/>
        <w:numPr>
          <w:ilvl w:val="0"/>
          <w:numId w:val="2"/>
        </w:numPr>
        <w:spacing w:after="80"/>
      </w:pPr>
      <w:r>
        <w:rPr>
          <w:sz w:val="22"/>
          <w:szCs w:val="22"/>
        </w:rPr>
        <w:t xml:space="preserve">Rippling: chatbot-first triage, live support restricted to admins only</w:t>
      </w:r>
    </w:p>
    <w:p>
      <w:pPr>
        <w:pStyle w:val="ListParagraph"/>
        <w:numPr>
          <w:ilvl w:val="0"/>
          <w:numId w:val="2"/>
        </w:numPr>
        <w:spacing w:after="80"/>
      </w:pPr>
      <w:r>
        <w:rPr>
          <w:sz w:val="22"/>
          <w:szCs w:val="22"/>
        </w:rPr>
        <w:t xml:space="preserve">BambooHR: inconsistent email domains, hard-to-reach agents</w:t>
      </w:r>
    </w:p>
    <w:p>
      <w:pPr>
        <w:pStyle w:val="ListParagraph"/>
        <w:numPr>
          <w:ilvl w:val="0"/>
          <w:numId w:val="2"/>
        </w:numPr>
        <w:spacing w:after="80"/>
      </w:pPr>
      <w:r>
        <w:rPr>
          <w:sz w:val="22"/>
          <w:szCs w:val="22"/>
        </w:rPr>
        <w:t xml:space="preserve">SAP SuccessFactors: inconsistent technical support (PeerSpot)</w:t>
      </w:r>
    </w:p>
    <w:p>
      <w:pPr>
        <w:pStyle w:val="ListParagraph"/>
        <w:numPr>
          <w:ilvl w:val="0"/>
          <w:numId w:val="2"/>
        </w:numPr>
        <w:spacing w:after="80"/>
      </w:pPr>
      <w:r>
        <w:rPr>
          <w:sz w:val="22"/>
          <w:szCs w:val="22"/>
        </w:rPr>
        <w:t xml:space="preserve">ADP: outdated interfaces, inconsistent support, hidden costs</w:t>
      </w:r>
    </w:p>
    <w:p>
      <w:pPr>
        <w:spacing w:after="120"/>
      </w:pPr>
      <w:r>
        <w:rPr>
          <w:b w:val="false"/>
          <w:bCs w:val="false"/>
          <w:i/>
          <w:iCs/>
          <w:color w:val="595959"/>
          <w:sz w:val="19"/>
          <w:szCs w:val="19"/>
        </w:rPr>
        <w:t xml:space="preserve">Source: BBB, GetApp, Software Advice, PeerSpot, Skima.ai ADP Alternatives Analysis (Feb 2026).</w:t>
      </w:r>
    </w:p>
    <w:p>
      <w:pPr>
        <w:pStyle w:val="Heading2"/>
        <w:spacing w:after="140" w:before="200"/>
      </w:pPr>
      <w:r>
        <w:rPr>
          <w:b/>
          <w:bCs/>
          <w:color w:val="2E75B6"/>
          <w:sz w:val="26"/>
          <w:szCs w:val="26"/>
        </w:rPr>
        <w:t xml:space="preserve">#4 Implementation Complexity, Cost, &amp; Timeline</w:t>
      </w:r>
    </w:p>
    <w:p>
      <w:pPr>
        <w:spacing w:after="120"/>
      </w:pPr>
      <w:r>
        <w:rPr>
          <w:b w:val="false"/>
          <w:bCs w:val="false"/>
          <w:i w:val="false"/>
          <w:iCs w:val="false"/>
          <w:color w:val="000000"/>
          <w:sz w:val="22"/>
          <w:szCs w:val="22"/>
        </w:rPr>
        <w:t xml:space="preserve">Implementation pain is the #2 dislike on Capterra/G2 for enterprise HCM.</w:t>
      </w:r>
    </w:p>
    <w:p>
      <w:pPr>
        <w:pStyle w:val="ListParagraph"/>
        <w:numPr>
          <w:ilvl w:val="0"/>
          <w:numId w:val="2"/>
        </w:numPr>
        <w:spacing w:after="80"/>
      </w:pPr>
      <w:r>
        <w:rPr>
          <w:sz w:val="22"/>
          <w:szCs w:val="22"/>
        </w:rPr>
        <w:t xml:space="preserve">Workday: 9–18 month implementations; implementation fees of 100–200% of annual software fees</w:t>
      </w:r>
    </w:p>
    <w:p>
      <w:pPr>
        <w:pStyle w:val="ListParagraph"/>
        <w:numPr>
          <w:ilvl w:val="0"/>
          <w:numId w:val="2"/>
        </w:numPr>
        <w:spacing w:after="80"/>
      </w:pPr>
      <w:r>
        <w:rPr>
          <w:sz w:val="22"/>
          <w:szCs w:val="22"/>
        </w:rPr>
        <w:t xml:space="preserve">Oracle FDI: version transitions mid-implementation, pipeline deprecations, steep semantic model learning curve</w:t>
      </w:r>
    </w:p>
    <w:p>
      <w:pPr>
        <w:pStyle w:val="ListParagraph"/>
        <w:numPr>
          <w:ilvl w:val="0"/>
          <w:numId w:val="2"/>
        </w:numPr>
        <w:spacing w:after="80"/>
      </w:pPr>
      <w:r>
        <w:rPr>
          <w:sz w:val="22"/>
          <w:szCs w:val="22"/>
        </w:rPr>
        <w:t xml:space="preserve">Workday Launch Express forces benefits modules to be reconfigured entirely post-go-live</w:t>
      </w:r>
    </w:p>
    <w:p>
      <w:pPr>
        <w:pStyle w:val="ListParagraph"/>
        <w:numPr>
          <w:ilvl w:val="0"/>
          <w:numId w:val="2"/>
        </w:numPr>
        <w:spacing w:after="80"/>
      </w:pPr>
      <w:r>
        <w:rPr>
          <w:sz w:val="22"/>
          <w:szCs w:val="22"/>
        </w:rPr>
        <w:t xml:space="preserve">Dayforce: steep admin learning curve; many custom workflows require developer support</w:t>
      </w:r>
    </w:p>
    <w:p>
      <w:pPr>
        <w:pStyle w:val="ListParagraph"/>
        <w:numPr>
          <w:ilvl w:val="0"/>
          <w:numId w:val="2"/>
        </w:numPr>
        <w:spacing w:after="80"/>
      </w:pPr>
      <w:r>
        <w:rPr>
          <w:sz w:val="22"/>
          <w:szCs w:val="22"/>
        </w:rPr>
        <w:t xml:space="preserve">Rippling: implementation fees of 5–15% of annual contract not disclosed upfront</w:t>
      </w:r>
    </w:p>
    <w:p>
      <w:pPr>
        <w:spacing w:after="120"/>
      </w:pPr>
      <w:r>
        <w:rPr>
          <w:b w:val="false"/>
          <w:bCs w:val="false"/>
          <w:i/>
          <w:iCs/>
          <w:color w:val="595959"/>
          <w:sz w:val="19"/>
          <w:szCs w:val="19"/>
        </w:rPr>
        <w:t xml:space="preserve">Source: Outsail, HR Technology Advice, Apps Associates (June 2025), HRStacks Rippling Review 2026, Skima.ai.</w:t>
      </w:r>
    </w:p>
    <w:p>
      <w:pPr>
        <w:pStyle w:val="Heading2"/>
        <w:spacing w:after="140" w:before="200"/>
      </w:pPr>
      <w:r>
        <w:rPr>
          <w:b/>
          <w:bCs/>
          <w:color w:val="2E75B6"/>
          <w:sz w:val="26"/>
          <w:szCs w:val="26"/>
        </w:rPr>
        <w:t xml:space="preserve">#5 UI/UX Friction &amp; Customization Rigidity</w:t>
      </w:r>
    </w:p>
    <w:p>
      <w:pPr>
        <w:spacing w:after="120"/>
      </w:pPr>
      <w:r>
        <w:rPr>
          <w:b w:val="false"/>
          <w:bCs w:val="false"/>
          <w:i w:val="false"/>
          <w:iCs w:val="false"/>
          <w:color w:val="000000"/>
          <w:sz w:val="22"/>
          <w:szCs w:val="22"/>
        </w:rPr>
        <w:t xml:space="preserve">Vendors restrict deep customization to preserve update stability, but customers experience this as rigidity.</w:t>
      </w:r>
    </w:p>
    <w:p>
      <w:pPr>
        <w:pStyle w:val="ListParagraph"/>
        <w:numPr>
          <w:ilvl w:val="0"/>
          <w:numId w:val="2"/>
        </w:numPr>
        <w:spacing w:after="80"/>
      </w:pPr>
      <w:r>
        <w:rPr>
          <w:sz w:val="22"/>
          <w:szCs w:val="22"/>
        </w:rPr>
        <w:t xml:space="preserve">Workday: cluttered menus, jargon, multiple layers of tabs, excessive clicks</w:t>
      </w:r>
    </w:p>
    <w:p>
      <w:pPr>
        <w:pStyle w:val="ListParagraph"/>
        <w:numPr>
          <w:ilvl w:val="0"/>
          <w:numId w:val="2"/>
        </w:numPr>
        <w:spacing w:after="80"/>
      </w:pPr>
      <w:r>
        <w:rPr>
          <w:sz w:val="22"/>
          <w:szCs w:val="22"/>
        </w:rPr>
        <w:t xml:space="preserve">UKG: not intuitive, requires navigating multiple disconnected areas to complete basic tasks</w:t>
      </w:r>
    </w:p>
    <w:p>
      <w:pPr>
        <w:pStyle w:val="ListParagraph"/>
        <w:numPr>
          <w:ilvl w:val="0"/>
          <w:numId w:val="2"/>
        </w:numPr>
        <w:spacing w:after="80"/>
      </w:pPr>
      <w:r>
        <w:rPr>
          <w:sz w:val="22"/>
          <w:szCs w:val="22"/>
        </w:rPr>
        <w:t xml:space="preserve">ADP: interface feels traditional/dated</w:t>
      </w:r>
    </w:p>
    <w:p>
      <w:pPr>
        <w:pStyle w:val="ListParagraph"/>
        <w:numPr>
          <w:ilvl w:val="0"/>
          <w:numId w:val="2"/>
        </w:numPr>
        <w:spacing w:after="80"/>
      </w:pPr>
      <w:r>
        <w:rPr>
          <w:sz w:val="22"/>
          <w:szCs w:val="22"/>
        </w:rPr>
        <w:t xml:space="preserve">BambooHR: limited custom fields, rigid time-off accruals, performance review workflows</w:t>
      </w:r>
    </w:p>
    <w:p>
      <w:pPr>
        <w:pStyle w:val="ListParagraph"/>
        <w:numPr>
          <w:ilvl w:val="0"/>
          <w:numId w:val="2"/>
        </w:numPr>
        <w:spacing w:after="80"/>
      </w:pPr>
      <w:r>
        <w:rPr>
          <w:sz w:val="22"/>
          <w:szCs w:val="22"/>
        </w:rPr>
        <w:t xml:space="preserve">SAP SuccessFactors: needs more customization and localization</w:t>
      </w:r>
    </w:p>
    <w:p>
      <w:pPr>
        <w:spacing w:after="120"/>
      </w:pPr>
      <w:r>
        <w:rPr>
          <w:b w:val="false"/>
          <w:bCs w:val="false"/>
          <w:i/>
          <w:iCs/>
          <w:color w:val="595959"/>
          <w:sz w:val="19"/>
          <w:szCs w:val="19"/>
        </w:rPr>
        <w:t xml:space="preserve">Source: G2, Capterra, Software Advice, PeerSpot, HiBob alternatives review (March 2026).</w:t>
      </w:r>
    </w:p>
    <w:p>
      <w:pPr>
        <w:pStyle w:val="Heading1"/>
        <w:spacing w:after="180" w:before="240"/>
      </w:pPr>
      <w:r>
        <w:rPr>
          <w:b/>
          <w:bCs/>
          <w:color w:val="1F3864"/>
          <w:sz w:val="32"/>
          <w:szCs w:val="32"/>
        </w:rPr>
        <w:t xml:space="preserve">5. The #1 Pain Drilled Down: Which Analytics Subject Area Hurts Most?</w:t>
      </w:r>
    </w:p>
    <w:p>
      <w:pPr>
        <w:spacing w:after="120"/>
      </w:pPr>
      <w:r>
        <w:rPr>
          <w:b w:val="false"/>
          <w:bCs w:val="false"/>
          <w:i/>
          <w:iCs/>
          <w:color w:val="000000"/>
          <w:sz w:val="21"/>
          <w:szCs w:val="21"/>
        </w:rPr>
        <w:t xml:space="preserve">A common follow-up question: within the broader Reporting and Analytics pain area, which specific analytics domain is the most painful — Performance Analysis, Attrition Analysis, or Payroll Analysis? The data shows the answer is none of these in pure isolation. The deepest pain is Workforce Planning and Headcount Analytics, with Attrition Analytics as the closest second.</w:t>
      </w:r>
    </w:p>
    <w:p>
      <w:pPr>
        <w:pStyle w:val="Heading2"/>
        <w:spacing w:after="140" w:before="200"/>
      </w:pPr>
      <w:r>
        <w:rPr>
          <w:b/>
          <w:bCs/>
          <w:color w:val="2E75B6"/>
          <w:sz w:val="26"/>
          <w:szCs w:val="26"/>
        </w:rPr>
        <w:t xml:space="preserve">Ranked: Most Painful HR Analytics Subject Areas</w:t>
      </w:r>
    </w:p>
    <w:p>
      <w:pPr>
        <w:spacing w:after="100" w:before="160"/>
      </w:pPr>
      <w:r>
        <w:rPr>
          <w:b/>
          <w:bCs/>
          <w:color w:val="1F3864"/>
          <w:sz w:val="24"/>
          <w:szCs w:val="24"/>
        </w:rPr>
        <w:t xml:space="preserve">1. Workforce Planning &amp; Headcount Analytics — The Hardest, Most-Cited Gap</w:t>
      </w:r>
    </w:p>
    <w:p>
      <w:pPr>
        <w:spacing w:after="120"/>
      </w:pPr>
      <w:r>
        <w:rPr>
          <w:b w:val="false"/>
          <w:bCs w:val="false"/>
          <w:i w:val="false"/>
          <w:iCs w:val="false"/>
          <w:color w:val="000000"/>
          <w:sz w:val="22"/>
          <w:szCs w:val="22"/>
        </w:rPr>
        <w:t xml:space="preserve">This is consistently identified as the area where HCM customers struggle most, because it is not a single report. It requires combining headcount, attrition, hiring funnel, compensation, skills, and finance/budget data across silos.</w:t>
      </w:r>
    </w:p>
    <w:p>
      <w:pPr>
        <w:pStyle w:val="ListParagraph"/>
        <w:numPr>
          <w:ilvl w:val="0"/>
          <w:numId w:val="2"/>
        </w:numPr>
        <w:spacing w:after="80"/>
      </w:pPr>
      <w:r>
        <w:rPr>
          <w:sz w:val="22"/>
          <w:szCs w:val="22"/>
        </w:rPr>
        <w:t xml:space="preserve">Harvard Business Review Analytic Services survey: 73% of leaders said inadequate workforce planning has caused them to miss business objectives</w:t>
      </w:r>
    </w:p>
    <w:p>
      <w:pPr>
        <w:pStyle w:val="ListParagraph"/>
        <w:numPr>
          <w:ilvl w:val="0"/>
          <w:numId w:val="2"/>
        </w:numPr>
        <w:spacing w:after="80"/>
      </w:pPr>
      <w:r>
        <w:rPr>
          <w:sz w:val="22"/>
          <w:szCs w:val="22"/>
        </w:rPr>
        <w:t xml:space="preserve">Korn Ferry CHRO survey: only 18% said their organization reliably uses data to drive people decisions</w:t>
      </w:r>
    </w:p>
    <w:p>
      <w:pPr>
        <w:pStyle w:val="ListParagraph"/>
        <w:numPr>
          <w:ilvl w:val="0"/>
          <w:numId w:val="2"/>
        </w:numPr>
        <w:spacing w:after="80"/>
      </w:pPr>
      <w:r>
        <w:rPr>
          <w:sz w:val="22"/>
          <w:szCs w:val="22"/>
        </w:rPr>
        <w:t xml:space="preserve">Towers Watson / Bersin: only a small percentage of organizations do anything more than headcount planning</w:t>
      </w:r>
    </w:p>
    <w:p>
      <w:pPr>
        <w:pStyle w:val="ListParagraph"/>
        <w:numPr>
          <w:ilvl w:val="0"/>
          <w:numId w:val="2"/>
        </w:numPr>
        <w:spacing w:after="80"/>
      </w:pPr>
      <w:r>
        <w:rPr>
          <w:sz w:val="22"/>
          <w:szCs w:val="22"/>
        </w:rPr>
        <w:t xml:space="preserve">Workday's own messaging: most companies are stuck with complex and clunky legacy software or spreadsheets — driving them to buy Workday Adaptive Planning as a separate product</w:t>
      </w:r>
    </w:p>
    <w:p>
      <w:pPr>
        <w:pStyle w:val="ListParagraph"/>
        <w:numPr>
          <w:ilvl w:val="0"/>
          <w:numId w:val="2"/>
        </w:numPr>
        <w:spacing w:after="80"/>
      </w:pPr>
      <w:r>
        <w:rPr>
          <w:sz w:val="22"/>
          <w:szCs w:val="22"/>
        </w:rPr>
        <w:t xml:space="preserve">CIO.com (March 2025): HR data sits in different systems and silos, making it impossible to link</w:t>
      </w:r>
    </w:p>
    <w:p>
      <w:pPr>
        <w:spacing w:after="120"/>
      </w:pPr>
      <w:r>
        <w:rPr>
          <w:b w:val="false"/>
          <w:bCs w:val="false"/>
          <w:i/>
          <w:iCs/>
          <w:color w:val="595959"/>
          <w:sz w:val="19"/>
          <w:szCs w:val="19"/>
        </w:rPr>
        <w:t xml:space="preserve">Source: HBR Analytic Services survey; Korn Ferry CHRO survey; CIO.com (March 2025); Anaplan workforce planning analysis; Workday Adaptive Planning marketing materials.</w:t>
      </w:r>
    </w:p>
    <w:p>
      <w:pPr>
        <w:spacing w:after="100" w:before="160"/>
      </w:pPr>
      <w:r>
        <w:rPr>
          <w:b/>
          <w:bCs/>
          <w:color w:val="1F3864"/>
          <w:sz w:val="24"/>
          <w:szCs w:val="24"/>
        </w:rPr>
        <w:t xml:space="preserve">2. Attrition / Turnover Analytics — The Highest Business-Stakes Specific Domain</w:t>
      </w:r>
    </w:p>
    <w:p>
      <w:pPr>
        <w:spacing w:after="120"/>
      </w:pPr>
      <w:r>
        <w:rPr>
          <w:b w:val="false"/>
          <w:bCs w:val="false"/>
          <w:i w:val="false"/>
          <w:iCs w:val="false"/>
          <w:color w:val="000000"/>
          <w:sz w:val="22"/>
          <w:szCs w:val="22"/>
        </w:rPr>
        <w:t xml:space="preserve">This is the most operationally painful single-domain analytic, and the most directly relevant answer to the question is it Attrition Analysis. Descriptive turnover reporting (rate by department) is easy and every HCM has it. The pain is in diagnostic and predictive attrition — explaining why people leave and who is at risk next.</w:t>
      </w:r>
    </w:p>
    <w:p>
      <w:pPr>
        <w:pStyle w:val="ListParagraph"/>
        <w:numPr>
          <w:ilvl w:val="0"/>
          <w:numId w:val="2"/>
        </w:numPr>
        <w:spacing w:after="80"/>
      </w:pPr>
      <w:r>
        <w:rPr>
          <w:sz w:val="22"/>
          <w:szCs w:val="22"/>
        </w:rPr>
        <w:t xml:space="preserve">Perceptyx Workplace Panel (2026): 59% of workers are currently job seeking; monthly quit rate annualizes to 25.2%</w:t>
      </w:r>
    </w:p>
    <w:p>
      <w:pPr>
        <w:pStyle w:val="ListParagraph"/>
        <w:numPr>
          <w:ilvl w:val="0"/>
          <w:numId w:val="2"/>
        </w:numPr>
        <w:spacing w:after="80"/>
      </w:pPr>
      <w:r>
        <w:rPr>
          <w:sz w:val="22"/>
          <w:szCs w:val="22"/>
        </w:rPr>
        <w:t xml:space="preserve">Exit interview data systematically over-represents compensation; predictive models routinely show compensation explains only ~31% of attrition variance, with manager quality, career velocity, and project allocation being stronger drivers</w:t>
      </w:r>
    </w:p>
    <w:p>
      <w:pPr>
        <w:pStyle w:val="ListParagraph"/>
        <w:numPr>
          <w:ilvl w:val="0"/>
          <w:numId w:val="2"/>
        </w:numPr>
        <w:spacing w:after="80"/>
      </w:pPr>
      <w:r>
        <w:rPr>
          <w:sz w:val="22"/>
          <w:szCs w:val="22"/>
        </w:rPr>
        <w:t xml:space="preserve">Most HCMs surface descriptive turnover but not the diagnostic explanation HR needs — driving customers to Visier, ChartHop, OneModel, Crunchr, CandorIQ</w:t>
      </w:r>
    </w:p>
    <w:p>
      <w:pPr>
        <w:pStyle w:val="ListParagraph"/>
        <w:numPr>
          <w:ilvl w:val="0"/>
          <w:numId w:val="2"/>
        </w:numPr>
        <w:spacing w:after="80"/>
      </w:pPr>
      <w:r>
        <w:rPr>
          <w:sz w:val="22"/>
          <w:szCs w:val="22"/>
        </w:rPr>
        <w:t xml:space="preserve">This is the most directly painful of the three areas in the original question (Performance vs. Attrition vs. Payroll Analysis)</w:t>
      </w:r>
    </w:p>
    <w:p>
      <w:pPr>
        <w:spacing w:after="120"/>
      </w:pPr>
      <w:r>
        <w:rPr>
          <w:b w:val="false"/>
          <w:bCs w:val="false"/>
          <w:i/>
          <w:iCs/>
          <w:color w:val="595959"/>
          <w:sz w:val="19"/>
          <w:szCs w:val="19"/>
        </w:rPr>
        <w:t xml:space="preserve">Source: Perceptyx Workplace Panel (Jan 2026); Avua HR Analytics Glossary (March 2026); CandorIQ attrition analytics analysis (July 2025); employsome.com HR Analytics 2026.</w:t>
      </w:r>
    </w:p>
    <w:p>
      <w:pPr>
        <w:spacing w:after="100" w:before="160"/>
      </w:pPr>
      <w:r>
        <w:rPr>
          <w:b/>
          <w:bCs/>
          <w:color w:val="1F3864"/>
          <w:sz w:val="24"/>
          <w:szCs w:val="24"/>
        </w:rPr>
        <w:t xml:space="preserve">3. Compensation &amp; Pay Equity Analytics — Fastest-Growing Pain</w:t>
      </w:r>
    </w:p>
    <w:p>
      <w:pPr>
        <w:spacing w:after="120"/>
      </w:pPr>
      <w:r>
        <w:rPr>
          <w:b w:val="false"/>
          <w:bCs w:val="false"/>
          <w:i w:val="false"/>
          <w:iCs w:val="false"/>
          <w:color w:val="000000"/>
          <w:sz w:val="22"/>
          <w:szCs w:val="22"/>
        </w:rPr>
        <w:t xml:space="preserve">Compensation analytics is described as the most technically straightforward HR analytics domain and among the most high-stakes from a legal and employee trust perspective. Pain spiked in 2026 because of new pay transparency regulation.</w:t>
      </w:r>
    </w:p>
    <w:p>
      <w:pPr>
        <w:pStyle w:val="ListParagraph"/>
        <w:numPr>
          <w:ilvl w:val="0"/>
          <w:numId w:val="2"/>
        </w:numPr>
        <w:spacing w:after="80"/>
      </w:pPr>
      <w:r>
        <w:rPr>
          <w:sz w:val="22"/>
          <w:szCs w:val="22"/>
        </w:rPr>
        <w:t xml:space="preserve">EU Pay Transparency Directive enters full force June 2026, requiring employers with 100+ workers to report pay gaps</w:t>
      </w:r>
    </w:p>
    <w:p>
      <w:pPr>
        <w:pStyle w:val="ListParagraph"/>
        <w:numPr>
          <w:ilvl w:val="0"/>
          <w:numId w:val="2"/>
        </w:numPr>
        <w:spacing w:after="80"/>
      </w:pPr>
      <w:r>
        <w:rPr>
          <w:sz w:val="22"/>
          <w:szCs w:val="22"/>
        </w:rPr>
        <w:t xml:space="preserve">US state-level laws (NY, CA, CO, WA) already require pay range disclosure</w:t>
      </w:r>
    </w:p>
    <w:p>
      <w:pPr>
        <w:pStyle w:val="ListParagraph"/>
        <w:numPr>
          <w:ilvl w:val="0"/>
          <w:numId w:val="2"/>
        </w:numPr>
        <w:spacing w:after="80"/>
      </w:pPr>
      <w:r>
        <w:rPr>
          <w:sz w:val="22"/>
          <w:szCs w:val="22"/>
        </w:rPr>
        <w:t xml:space="preserve">Customers struggle with adjusted vs. unadjusted pay gaps, controlling for role/level/tenure/performance</w:t>
      </w:r>
    </w:p>
    <w:p>
      <w:pPr>
        <w:pStyle w:val="ListParagraph"/>
        <w:numPr>
          <w:ilvl w:val="0"/>
          <w:numId w:val="2"/>
        </w:numPr>
        <w:spacing w:after="80"/>
      </w:pPr>
      <w:r>
        <w:rPr>
          <w:sz w:val="22"/>
          <w:szCs w:val="22"/>
        </w:rPr>
        <w:t xml:space="preserve">Most HCMs do not natively produce adjusted-pay-gap analysis — driving customers to specialty platforms (Syndio, Trusaic) or manual spreadsheets</w:t>
      </w:r>
    </w:p>
    <w:p>
      <w:pPr>
        <w:spacing w:after="120"/>
      </w:pPr>
      <w:r>
        <w:rPr>
          <w:b w:val="false"/>
          <w:bCs w:val="false"/>
          <w:i/>
          <w:iCs/>
          <w:color w:val="595959"/>
          <w:sz w:val="19"/>
          <w:szCs w:val="19"/>
        </w:rPr>
        <w:t xml:space="preserve">Source: Avua HR Analytics glossary (March 2026); employsome.com HR Analytics 2026; EU Pay Transparency Directive regulatory tracking.</w:t>
      </w:r>
    </w:p>
    <w:p>
      <w:pPr>
        <w:spacing w:after="100" w:before="160"/>
      </w:pPr>
      <w:r>
        <w:rPr>
          <w:b/>
          <w:bCs/>
          <w:color w:val="1F3864"/>
          <w:sz w:val="24"/>
          <w:szCs w:val="24"/>
        </w:rPr>
        <w:t xml:space="preserve">4. Performance Analytics — Moderate Pain, Mostly Integration-Driven</w:t>
      </w:r>
    </w:p>
    <w:p>
      <w:pPr>
        <w:spacing w:after="120"/>
      </w:pPr>
      <w:r>
        <w:rPr>
          <w:b w:val="false"/>
          <w:bCs w:val="false"/>
          <w:i w:val="false"/>
          <w:iCs w:val="false"/>
          <w:color w:val="000000"/>
          <w:sz w:val="22"/>
          <w:szCs w:val="22"/>
        </w:rPr>
        <w:t xml:space="preserve">Performance is rated, recorded, and reportable in every HCM, but customers struggle to link performance data to attrition, compensation, and promotion decisions. The pain is integration, not the performance data itself.</w:t>
      </w:r>
    </w:p>
    <w:p>
      <w:pPr>
        <w:pStyle w:val="ListParagraph"/>
        <w:numPr>
          <w:ilvl w:val="0"/>
          <w:numId w:val="2"/>
        </w:numPr>
        <w:spacing w:after="80"/>
      </w:pPr>
      <w:r>
        <w:rPr>
          <w:sz w:val="22"/>
          <w:szCs w:val="22"/>
        </w:rPr>
        <w:t xml:space="preserve">Performance management suites (Lattice, Culture Amp, 15Five) often sit outside the HCM, requiring data joins</w:t>
      </w:r>
    </w:p>
    <w:p>
      <w:pPr>
        <w:pStyle w:val="ListParagraph"/>
        <w:numPr>
          <w:ilvl w:val="0"/>
          <w:numId w:val="2"/>
        </w:numPr>
        <w:spacing w:after="80"/>
      </w:pPr>
      <w:r>
        <w:rPr>
          <w:sz w:val="22"/>
          <w:szCs w:val="22"/>
        </w:rPr>
        <w:t xml:space="preserve">Performance ratings are notoriously inconsistent across managers, undermining downstream analytics</w:t>
      </w:r>
    </w:p>
    <w:p>
      <w:pPr>
        <w:pStyle w:val="ListParagraph"/>
        <w:numPr>
          <w:ilvl w:val="0"/>
          <w:numId w:val="2"/>
        </w:numPr>
        <w:spacing w:after="80"/>
      </w:pPr>
      <w:r>
        <w:rPr>
          <w:sz w:val="22"/>
          <w:szCs w:val="22"/>
        </w:rPr>
        <w:t xml:space="preserve">Real but lower-severity pain than workforce planning or attrition</w:t>
      </w:r>
    </w:p>
    <w:p>
      <w:pPr>
        <w:spacing w:after="120"/>
      </w:pPr>
      <w:r>
        <w:rPr>
          <w:b w:val="false"/>
          <w:bCs w:val="false"/>
          <w:i/>
          <w:iCs/>
          <w:color w:val="595959"/>
          <w:sz w:val="19"/>
          <w:szCs w:val="19"/>
        </w:rPr>
        <w:t xml:space="preserve">Source: Avua HR Analytics glossary (March 2026); Workday HR Analytics overview.</w:t>
      </w:r>
    </w:p>
    <w:p>
      <w:pPr>
        <w:spacing w:after="100" w:before="160"/>
      </w:pPr>
      <w:r>
        <w:rPr>
          <w:b/>
          <w:bCs/>
          <w:color w:val="1F3864"/>
          <w:sz w:val="24"/>
          <w:szCs w:val="24"/>
        </w:rPr>
        <w:t xml:space="preserve">5. Payroll &amp; Labor Cost Analytics — High-Severity but Narrower Scope</w:t>
      </w:r>
    </w:p>
    <w:p>
      <w:pPr>
        <w:spacing w:after="120"/>
      </w:pPr>
      <w:r>
        <w:rPr>
          <w:b w:val="false"/>
          <w:bCs w:val="false"/>
          <w:i w:val="false"/>
          <w:iCs w:val="false"/>
          <w:color w:val="000000"/>
          <w:sz w:val="22"/>
          <w:szCs w:val="22"/>
        </w:rPr>
        <w:t xml:space="preserve">Important and operationally critical, but a smaller share of HR teams' analytics demand than workforce planning or attrition. Where it is painful, it is very painful — but it is more often a transactional/compliance problem than an analytics problem.</w:t>
      </w:r>
    </w:p>
    <w:p>
      <w:pPr>
        <w:pStyle w:val="ListParagraph"/>
        <w:numPr>
          <w:ilvl w:val="0"/>
          <w:numId w:val="2"/>
        </w:numPr>
        <w:spacing w:after="80"/>
      </w:pPr>
      <w:r>
        <w:rPr>
          <w:sz w:val="22"/>
          <w:szCs w:val="22"/>
        </w:rPr>
        <w:t xml:space="preserve">Audit trails connecting compensation decisions to risk frameworks (Basel III, Dodd-Frank, MiFID II) are required by 22.89% of the HCM market that is BFSI</w:t>
      </w:r>
    </w:p>
    <w:p>
      <w:pPr>
        <w:pStyle w:val="ListParagraph"/>
        <w:numPr>
          <w:ilvl w:val="0"/>
          <w:numId w:val="2"/>
        </w:numPr>
        <w:spacing w:after="80"/>
      </w:pPr>
      <w:r>
        <w:rPr>
          <w:sz w:val="22"/>
          <w:szCs w:val="22"/>
        </w:rPr>
        <w:t xml:space="preserve">Variable pay, deferral schedules, and retro-pay are technically demanding but not where most HR analytics demand lives</w:t>
      </w:r>
    </w:p>
    <w:p>
      <w:pPr>
        <w:spacing w:after="120"/>
      </w:pPr>
      <w:r>
        <w:rPr>
          <w:b w:val="false"/>
          <w:bCs w:val="false"/>
          <w:i/>
          <w:iCs/>
          <w:color w:val="595959"/>
          <w:sz w:val="19"/>
          <w:szCs w:val="19"/>
        </w:rPr>
        <w:t xml:space="preserve">Source: Mordor Intelligence HCM Software Market Report (Feb 2026); PwC 2025 Global Payroll Survey.</w:t>
      </w:r>
    </w:p>
    <w:p>
      <w:pPr>
        <w:pStyle w:val="Heading2"/>
        <w:spacing w:after="140" w:before="200"/>
      </w:pPr>
      <w:r>
        <w:rPr>
          <w:b/>
          <w:bCs/>
          <w:color w:val="2E75B6"/>
          <w:sz w:val="26"/>
          <w:szCs w:val="26"/>
        </w:rPr>
        <w:t xml:space="preserve">Direct Answer to the Question</w:t>
      </w:r>
    </w:p>
    <w:p>
      <w:pPr>
        <w:spacing w:after="120"/>
      </w:pPr>
      <w:r>
        <w:rPr>
          <w:b w:val="false"/>
          <w:bCs w:val="false"/>
          <w:i w:val="false"/>
          <w:iCs w:val="false"/>
          <w:color w:val="000000"/>
          <w:sz w:val="22"/>
          <w:szCs w:val="22"/>
        </w:rPr>
        <w:t xml:space="preserve">Among Performance Analysis, Attrition Analysis, and Payroll Analysis specifically, ATTRITION ANALYSIS is the most reported pain point. It is universal across vendors and buyer sizes; descriptive metrics are everywhere but diagnostic and predictive attrition is rarely solved out of the box; the business stakes are direct (cost of replacement averaging $30K per employee in a 500-person org); and exit interview data is systematically misleading, requiring real analytics to overcome.</w:t>
      </w:r>
    </w:p>
    <w:p>
      <w:pPr>
        <w:spacing w:after="120"/>
      </w:pPr>
      <w:r>
        <w:rPr>
          <w:b w:val="false"/>
          <w:bCs w:val="false"/>
          <w:i/>
          <w:iCs/>
          <w:color w:val="595959"/>
          <w:sz w:val="21"/>
          <w:szCs w:val="21"/>
        </w:rPr>
        <w:t xml:space="preserve">However, the broader and even larger pain area is Workforce Planning &amp; Headcount Analytics, which sits one level above attrition analysis and is where 73% of leaders said poor capability has caused missed business objectives. A vendor strategy that addresses both attrition diagnostics and workforce planning will address the most-reported analytics pain in the HCM market.</w:t>
      </w:r>
    </w:p>
    <w:p>
      <w:pPr>
        <w:pStyle w:val="Heading1"/>
        <w:spacing w:after="180" w:before="240"/>
      </w:pPr>
      <w:r>
        <w:rPr>
          <w:b/>
          <w:bCs/>
          <w:color w:val="1F3864"/>
          <w:sz w:val="32"/>
          <w:szCs w:val="32"/>
        </w:rPr>
        <w:t xml:space="preserve">6. Compliance Pain Beyond Payroll: 6 Areas Customers Struggle With</w:t>
      </w:r>
    </w:p>
    <w:p>
      <w:pPr>
        <w:spacing w:after="120"/>
      </w:pPr>
      <w:r>
        <w:rPr>
          <w:b w:val="false"/>
          <w:bCs w:val="false"/>
          <w:i/>
          <w:iCs/>
          <w:color w:val="000000"/>
          <w:sz w:val="21"/>
          <w:szCs w:val="21"/>
        </w:rPr>
        <w:t xml:space="preserve">A common assumption is that compliance pain in HCM is primarily a payroll/tax problem. Payroll/tax is the most-cited compliance pain because it is universal — but it is not the only one, and several non-payroll areas now carry comparable or greater compliance complexity. Below are the six non-payroll compliance areas where HCM customers consistently struggle.</w:t>
      </w:r>
    </w:p>
    <w:p>
      <w:pPr>
        <w:pStyle w:val="Heading2"/>
        <w:spacing w:after="140" w:before="200"/>
      </w:pPr>
      <w:r>
        <w:rPr>
          <w:b/>
          <w:bCs/>
          <w:color w:val="2E75B6"/>
          <w:sz w:val="26"/>
          <w:szCs w:val="26"/>
        </w:rPr>
        <w:t xml:space="preserve">#1 Benefits Administration — ACA, COBRA, HIPAA, ERISA</w:t>
      </w:r>
    </w:p>
    <w:p>
      <w:pPr>
        <w:spacing w:after="120"/>
      </w:pPr>
      <w:r>
        <w:rPr>
          <w:b w:val="false"/>
          <w:bCs w:val="false"/>
          <w:i w:val="false"/>
          <w:iCs w:val="false"/>
          <w:color w:val="000000"/>
          <w:sz w:val="22"/>
          <w:szCs w:val="22"/>
        </w:rPr>
        <w:t xml:space="preserve">This is the closest peer to payroll in compliance complexity and is widely under-served by core HCM modules.</w:t>
      </w:r>
    </w:p>
    <w:p>
      <w:pPr>
        <w:pStyle w:val="ListParagraph"/>
        <w:numPr>
          <w:ilvl w:val="0"/>
          <w:numId w:val="2"/>
        </w:numPr>
        <w:spacing w:after="80"/>
      </w:pPr>
      <w:r>
        <w:rPr>
          <w:sz w:val="22"/>
          <w:szCs w:val="22"/>
        </w:rPr>
        <w:t xml:space="preserve">WEX Inc.: while HCMs provide convenience, their benefits administration capabilities often lack the depth needed for managing complex plan structures, regulatory compliance, and seamless vendor coordination</w:t>
      </w:r>
    </w:p>
    <w:p>
      <w:pPr>
        <w:pStyle w:val="ListParagraph"/>
        <w:numPr>
          <w:ilvl w:val="0"/>
          <w:numId w:val="2"/>
        </w:numPr>
        <w:spacing w:after="80"/>
      </w:pPr>
      <w:r>
        <w:rPr>
          <w:sz w:val="22"/>
          <w:szCs w:val="22"/>
        </w:rPr>
        <w:t xml:space="preserve">ACA reporting (forms 1094-C, 1095-C) and COBRA notices have hard deadlines with penalties for misses</w:t>
      </w:r>
    </w:p>
    <w:p>
      <w:pPr>
        <w:pStyle w:val="ListParagraph"/>
        <w:numPr>
          <w:ilvl w:val="0"/>
          <w:numId w:val="2"/>
        </w:numPr>
        <w:spacing w:after="80"/>
      </w:pPr>
      <w:r>
        <w:rPr>
          <w:sz w:val="22"/>
          <w:szCs w:val="22"/>
        </w:rPr>
        <w:t xml:space="preserve">Open enrollment is described by HCM vendors themselves as chaos that customers need help with</w:t>
      </w:r>
    </w:p>
    <w:p>
      <w:pPr>
        <w:pStyle w:val="ListParagraph"/>
        <w:numPr>
          <w:ilvl w:val="0"/>
          <w:numId w:val="2"/>
        </w:numPr>
        <w:spacing w:after="80"/>
      </w:pPr>
      <w:r>
        <w:rPr>
          <w:sz w:val="22"/>
          <w:szCs w:val="22"/>
        </w:rPr>
        <w:t xml:space="preserve">isolved survey: 50% of employees would consider leaving after a poor open enrollment experience</w:t>
      </w:r>
    </w:p>
    <w:p>
      <w:pPr>
        <w:pStyle w:val="ListParagraph"/>
        <w:numPr>
          <w:ilvl w:val="0"/>
          <w:numId w:val="2"/>
        </w:numPr>
        <w:spacing w:after="80"/>
      </w:pPr>
      <w:r>
        <w:rPr>
          <w:sz w:val="22"/>
          <w:szCs w:val="22"/>
        </w:rPr>
        <w:t xml:space="preserve">Customers commonly buy specialty platforms (PlanSource, bswift, Benefitfocus, WEX) outside their HCM</w:t>
      </w:r>
    </w:p>
    <w:p>
      <w:pPr>
        <w:spacing w:after="120"/>
      </w:pPr>
      <w:r>
        <w:rPr>
          <w:b w:val="false"/>
          <w:bCs w:val="false"/>
          <w:i/>
          <w:iCs/>
          <w:color w:val="595959"/>
          <w:sz w:val="19"/>
          <w:szCs w:val="19"/>
        </w:rPr>
        <w:t xml:space="preserve">Source: WEX HCM vs Benefits Administration comparison (March 2025); isolved benefits compliance materials; Armanino (Oct 2025); ADP Best Benefits Administration Software 2026.</w:t>
      </w:r>
    </w:p>
    <w:p>
      <w:pPr>
        <w:pStyle w:val="Heading2"/>
        <w:spacing w:after="140" w:before="200"/>
      </w:pPr>
      <w:r>
        <w:rPr>
          <w:b/>
          <w:bCs/>
          <w:color w:val="2E75B6"/>
          <w:sz w:val="26"/>
          <w:szCs w:val="26"/>
        </w:rPr>
        <w:t xml:space="preserve">#2 Pay Equity &amp; Pay Transparency Reporting</w:t>
      </w:r>
    </w:p>
    <w:p>
      <w:pPr>
        <w:spacing w:after="120"/>
      </w:pPr>
      <w:r>
        <w:rPr>
          <w:b w:val="false"/>
          <w:bCs w:val="false"/>
          <w:i w:val="false"/>
          <w:iCs w:val="false"/>
          <w:color w:val="000000"/>
          <w:sz w:val="22"/>
          <w:szCs w:val="22"/>
        </w:rPr>
        <w:t xml:space="preserve">Newest fast-growing compliance pain, and the area where HCM tooling lags regulation most visibly.</w:t>
      </w:r>
    </w:p>
    <w:p>
      <w:pPr>
        <w:pStyle w:val="ListParagraph"/>
        <w:numPr>
          <w:ilvl w:val="0"/>
          <w:numId w:val="2"/>
        </w:numPr>
        <w:spacing w:after="80"/>
      </w:pPr>
      <w:r>
        <w:rPr>
          <w:sz w:val="22"/>
          <w:szCs w:val="22"/>
        </w:rPr>
        <w:t xml:space="preserve">EU Pay Transparency Directive enters full force June 2026 (employers with 100+ workers must report pay gaps)</w:t>
      </w:r>
    </w:p>
    <w:p>
      <w:pPr>
        <w:pStyle w:val="ListParagraph"/>
        <w:numPr>
          <w:ilvl w:val="0"/>
          <w:numId w:val="2"/>
        </w:numPr>
        <w:spacing w:after="80"/>
      </w:pPr>
      <w:r>
        <w:rPr>
          <w:sz w:val="22"/>
          <w:szCs w:val="22"/>
        </w:rPr>
        <w:t xml:space="preserve">US state-level laws (NY, CA, CO, WA) already require pay range disclosure in postings</w:t>
      </w:r>
    </w:p>
    <w:p>
      <w:pPr>
        <w:pStyle w:val="ListParagraph"/>
        <w:numPr>
          <w:ilvl w:val="0"/>
          <w:numId w:val="2"/>
        </w:numPr>
        <w:spacing w:after="80"/>
      </w:pPr>
      <w:r>
        <w:rPr>
          <w:sz w:val="22"/>
          <w:szCs w:val="22"/>
        </w:rPr>
        <w:t xml:space="preserve">Most HCMs do not natively produce adjusted-pay-gap analysis (controlling for role, level, tenure, performance)</w:t>
      </w:r>
    </w:p>
    <w:p>
      <w:pPr>
        <w:pStyle w:val="ListParagraph"/>
        <w:numPr>
          <w:ilvl w:val="0"/>
          <w:numId w:val="2"/>
        </w:numPr>
        <w:spacing w:after="80"/>
      </w:pPr>
      <w:r>
        <w:rPr>
          <w:sz w:val="22"/>
          <w:szCs w:val="22"/>
        </w:rPr>
        <w:t xml:space="preserve">Customers force-fit specialty platforms (Syndio, Trusaic, PayParity) or run analyses in spreadsheets</w:t>
      </w:r>
    </w:p>
    <w:p>
      <w:pPr>
        <w:spacing w:after="120"/>
      </w:pPr>
      <w:r>
        <w:rPr>
          <w:b w:val="false"/>
          <w:bCs w:val="false"/>
          <w:i/>
          <w:iCs/>
          <w:color w:val="595959"/>
          <w:sz w:val="19"/>
          <w:szCs w:val="19"/>
        </w:rPr>
        <w:t xml:space="preserve">Source: employsome.com HR Analytics 2026; EU Pay Transparency Directive regulatory tracking; US state pay disclosure laws.</w:t>
      </w:r>
    </w:p>
    <w:p>
      <w:pPr>
        <w:pStyle w:val="Heading2"/>
        <w:spacing w:after="140" w:before="200"/>
      </w:pPr>
      <w:r>
        <w:rPr>
          <w:b/>
          <w:bCs/>
          <w:color w:val="2E75B6"/>
          <w:sz w:val="26"/>
          <w:szCs w:val="26"/>
        </w:rPr>
        <w:t xml:space="preserve">#3 Time &amp; Labor / Wage-and-Hour Compliance</w:t>
      </w:r>
    </w:p>
    <w:p>
      <w:pPr>
        <w:spacing w:after="120"/>
      </w:pPr>
      <w:r>
        <w:rPr>
          <w:b w:val="false"/>
          <w:bCs w:val="false"/>
          <w:i w:val="false"/>
          <w:iCs w:val="false"/>
          <w:color w:val="000000"/>
          <w:sz w:val="22"/>
          <w:szCs w:val="22"/>
        </w:rPr>
        <w:t xml:space="preserve">The dominant compliance pain for shift-based industries (retail, healthcare, hospitality, manufacturing).</w:t>
      </w:r>
    </w:p>
    <w:p>
      <w:pPr>
        <w:pStyle w:val="ListParagraph"/>
        <w:numPr>
          <w:ilvl w:val="0"/>
          <w:numId w:val="2"/>
        </w:numPr>
        <w:spacing w:after="80"/>
      </w:pPr>
      <w:r>
        <w:rPr>
          <w:sz w:val="22"/>
          <w:szCs w:val="22"/>
        </w:rPr>
        <w:t xml:space="preserve">FLSA classification (exempt vs. non-exempt), overtime rules, meal/rest break enforcement</w:t>
      </w:r>
    </w:p>
    <w:p>
      <w:pPr>
        <w:pStyle w:val="ListParagraph"/>
        <w:numPr>
          <w:ilvl w:val="0"/>
          <w:numId w:val="2"/>
        </w:numPr>
        <w:spacing w:after="80"/>
      </w:pPr>
      <w:r>
        <w:rPr>
          <w:sz w:val="22"/>
          <w:szCs w:val="22"/>
        </w:rPr>
        <w:t xml:space="preserve">Predictive scheduling laws in NYC, San Francisco, Oregon, Chicago, Philadelphia create city-by-city rules</w:t>
      </w:r>
    </w:p>
    <w:p>
      <w:pPr>
        <w:pStyle w:val="ListParagraph"/>
        <w:numPr>
          <w:ilvl w:val="0"/>
          <w:numId w:val="2"/>
        </w:numPr>
        <w:spacing w:after="80"/>
      </w:pPr>
      <w:r>
        <w:rPr>
          <w:sz w:val="22"/>
          <w:szCs w:val="22"/>
        </w:rPr>
        <w:t xml:space="preserve">Dayforce and UKG win deals here precisely because they automate compliance engines for overtime, breaks, and tax-shifts</w:t>
      </w:r>
    </w:p>
    <w:p>
      <w:pPr>
        <w:pStyle w:val="ListParagraph"/>
        <w:numPr>
          <w:ilvl w:val="0"/>
          <w:numId w:val="2"/>
        </w:numPr>
        <w:spacing w:after="80"/>
      </w:pPr>
      <w:r>
        <w:rPr>
          <w:sz w:val="22"/>
          <w:szCs w:val="22"/>
        </w:rPr>
        <w:t xml:space="preserve">PeopleGoal: SAP SuccessFactors usually requires add-ons or manual tracking to stay compliant with localized labor rules</w:t>
      </w:r>
    </w:p>
    <w:p>
      <w:pPr>
        <w:spacing w:after="120"/>
      </w:pPr>
      <w:r>
        <w:rPr>
          <w:b w:val="false"/>
          <w:bCs w:val="false"/>
          <w:i/>
          <w:iCs/>
          <w:color w:val="595959"/>
          <w:sz w:val="19"/>
          <w:szCs w:val="19"/>
        </w:rPr>
        <w:t xml:space="preserve">Source: PeopleGoal SuccessFactors alternatives analysis (Dec 2025); Dayforce/UKG product positioning.</w:t>
      </w:r>
    </w:p>
    <w:p>
      <w:pPr>
        <w:pStyle w:val="Heading2"/>
        <w:spacing w:after="140" w:before="200"/>
      </w:pPr>
      <w:r>
        <w:rPr>
          <w:b/>
          <w:bCs/>
          <w:color w:val="2E75B6"/>
          <w:sz w:val="26"/>
          <w:szCs w:val="26"/>
        </w:rPr>
        <w:t xml:space="preserve">#4 Leave Management — FMLA, ADA, State PFML, EU Directives</w:t>
      </w:r>
    </w:p>
    <w:p>
      <w:pPr>
        <w:spacing w:after="120"/>
      </w:pPr>
      <w:r>
        <w:rPr>
          <w:b w:val="false"/>
          <w:bCs w:val="false"/>
          <w:i w:val="false"/>
          <w:iCs w:val="false"/>
          <w:color w:val="000000"/>
          <w:sz w:val="22"/>
          <w:szCs w:val="22"/>
        </w:rPr>
        <w:t xml:space="preserve">A meaningful and often-overlooked pain point with growing regulatory complexity.</w:t>
      </w:r>
    </w:p>
    <w:p>
      <w:pPr>
        <w:pStyle w:val="ListParagraph"/>
        <w:numPr>
          <w:ilvl w:val="0"/>
          <w:numId w:val="2"/>
        </w:numPr>
        <w:spacing w:after="80"/>
      </w:pPr>
      <w:r>
        <w:rPr>
          <w:sz w:val="22"/>
          <w:szCs w:val="22"/>
        </w:rPr>
        <w:t xml:space="preserve">Federal FMLA, state-level Paid Family Medical Leave (now in 13+ US states with different rules each)</w:t>
      </w:r>
    </w:p>
    <w:p>
      <w:pPr>
        <w:pStyle w:val="ListParagraph"/>
        <w:numPr>
          <w:ilvl w:val="0"/>
          <w:numId w:val="2"/>
        </w:numPr>
        <w:spacing w:after="80"/>
      </w:pPr>
      <w:r>
        <w:rPr>
          <w:sz w:val="22"/>
          <w:szCs w:val="22"/>
        </w:rPr>
        <w:t xml:space="preserve">ADA accommodation tracking, military leave (USERRA), jury duty, bereavement</w:t>
      </w:r>
    </w:p>
    <w:p>
      <w:pPr>
        <w:pStyle w:val="ListParagraph"/>
        <w:numPr>
          <w:ilvl w:val="0"/>
          <w:numId w:val="2"/>
        </w:numPr>
        <w:spacing w:after="80"/>
      </w:pPr>
      <w:r>
        <w:rPr>
          <w:sz w:val="22"/>
          <w:szCs w:val="22"/>
        </w:rPr>
        <w:t xml:space="preserve">Global parental leave directives (EU Work-Life Balance Directive)</w:t>
      </w:r>
    </w:p>
    <w:p>
      <w:pPr>
        <w:pStyle w:val="ListParagraph"/>
        <w:numPr>
          <w:ilvl w:val="0"/>
          <w:numId w:val="2"/>
        </w:numPr>
        <w:spacing w:after="80"/>
      </w:pPr>
      <w:r>
        <w:rPr>
          <w:sz w:val="22"/>
          <w:szCs w:val="22"/>
        </w:rPr>
        <w:t xml:space="preserve">Many large employers buy specialty leave administration platforms (AbsenceSoft, Sedgwick, Reed Group) outside their HCM</w:t>
      </w:r>
    </w:p>
    <w:p>
      <w:pPr>
        <w:pStyle w:val="ListParagraph"/>
        <w:numPr>
          <w:ilvl w:val="0"/>
          <w:numId w:val="2"/>
        </w:numPr>
        <w:spacing w:after="80"/>
      </w:pPr>
      <w:r>
        <w:rPr>
          <w:sz w:val="22"/>
          <w:szCs w:val="22"/>
        </w:rPr>
        <w:t xml:space="preserve">Core HCM leave modules typically handle accruals well but struggle with overlapping/concurrent leave types</w:t>
      </w:r>
    </w:p>
    <w:p>
      <w:pPr>
        <w:spacing w:after="120"/>
      </w:pPr>
      <w:r>
        <w:rPr>
          <w:b w:val="false"/>
          <w:bCs w:val="false"/>
          <w:i/>
          <w:iCs/>
          <w:color w:val="595959"/>
          <w:sz w:val="19"/>
          <w:szCs w:val="19"/>
        </w:rPr>
        <w:t xml:space="preserve">Source: Cross-vendor compliance reports; specialty leave admin vendor positioning; state PFML legislation tracking.</w:t>
      </w:r>
    </w:p>
    <w:p>
      <w:pPr>
        <w:pStyle w:val="Heading2"/>
        <w:spacing w:after="140" w:before="200"/>
      </w:pPr>
      <w:r>
        <w:rPr>
          <w:b/>
          <w:bCs/>
          <w:color w:val="2E75B6"/>
          <w:sz w:val="26"/>
          <w:szCs w:val="26"/>
        </w:rPr>
        <w:t xml:space="preserve">#5 Data Privacy &amp; Workforce Data Security — GDPR, CCPA, EU AI Act</w:t>
      </w:r>
    </w:p>
    <w:p>
      <w:pPr>
        <w:spacing w:after="120"/>
      </w:pPr>
      <w:r>
        <w:rPr>
          <w:b w:val="false"/>
          <w:bCs w:val="false"/>
          <w:i w:val="false"/>
          <w:iCs w:val="false"/>
          <w:color w:val="000000"/>
          <w:sz w:val="22"/>
          <w:szCs w:val="22"/>
        </w:rPr>
        <w:t xml:space="preserve">HCM systems hold the most sensitive employee data and are prime ransomware targets.</w:t>
      </w:r>
    </w:p>
    <w:p>
      <w:pPr>
        <w:pStyle w:val="ListParagraph"/>
        <w:numPr>
          <w:ilvl w:val="0"/>
          <w:numId w:val="2"/>
        </w:numPr>
        <w:spacing w:after="80"/>
      </w:pPr>
      <w:r>
        <w:rPr>
          <w:sz w:val="22"/>
          <w:szCs w:val="22"/>
        </w:rPr>
        <w:t xml:space="preserve">Cleo breach (Dec 2024): exposed payroll records at multinational employers, highlighting third-party file-transfer vulnerabilities</w:t>
      </w:r>
    </w:p>
    <w:p>
      <w:pPr>
        <w:pStyle w:val="ListParagraph"/>
        <w:numPr>
          <w:ilvl w:val="0"/>
          <w:numId w:val="2"/>
        </w:numPr>
        <w:spacing w:after="80"/>
      </w:pPr>
      <w:r>
        <w:rPr>
          <w:sz w:val="22"/>
          <w:szCs w:val="22"/>
        </w:rPr>
        <w:t xml:space="preserve">65% of organizations report concerns over data breaches in HCM systems</w:t>
      </w:r>
    </w:p>
    <w:p>
      <w:pPr>
        <w:pStyle w:val="ListParagraph"/>
        <w:numPr>
          <w:ilvl w:val="0"/>
          <w:numId w:val="2"/>
        </w:numPr>
        <w:spacing w:after="80"/>
      </w:pPr>
      <w:r>
        <w:rPr>
          <w:sz w:val="22"/>
          <w:szCs w:val="22"/>
        </w:rPr>
        <w:t xml:space="preserve">GDPR (effective 2018): HR data treated as special category requiring extra protections</w:t>
      </w:r>
    </w:p>
    <w:p>
      <w:pPr>
        <w:pStyle w:val="ListParagraph"/>
        <w:numPr>
          <w:ilvl w:val="0"/>
          <w:numId w:val="2"/>
        </w:numPr>
        <w:spacing w:after="80"/>
      </w:pPr>
      <w:r>
        <w:rPr>
          <w:sz w:val="22"/>
          <w:szCs w:val="22"/>
        </w:rPr>
        <w:t xml:space="preserve">EU AI Act bias-audit requirements (phased through 2026) specifically target AI used in hiring and performance decisions — a brand-new compliance front</w:t>
      </w:r>
    </w:p>
    <w:p>
      <w:pPr>
        <w:pStyle w:val="ListParagraph"/>
        <w:numPr>
          <w:ilvl w:val="0"/>
          <w:numId w:val="2"/>
        </w:numPr>
        <w:spacing w:after="80"/>
      </w:pPr>
      <w:r>
        <w:rPr>
          <w:sz w:val="22"/>
          <w:szCs w:val="22"/>
        </w:rPr>
        <w:t xml:space="preserve">Companies invest an average of $1.2M annually for HCM compliance</w:t>
      </w:r>
    </w:p>
    <w:p>
      <w:pPr>
        <w:spacing w:after="120"/>
      </w:pPr>
      <w:r>
        <w:rPr>
          <w:b w:val="false"/>
          <w:bCs w:val="false"/>
          <w:i/>
          <w:iCs/>
          <w:color w:val="595959"/>
          <w:sz w:val="19"/>
          <w:szCs w:val="19"/>
        </w:rPr>
        <w:t xml:space="preserve">Source: Mordor Intelligence HCM Software Market Report (Feb 2026); Ken Research Global HCM Software Market 2025; EU AI Act regulatory tracking.</w:t>
      </w:r>
    </w:p>
    <w:p>
      <w:pPr>
        <w:pStyle w:val="Heading2"/>
        <w:spacing w:after="140" w:before="200"/>
      </w:pPr>
      <w:r>
        <w:rPr>
          <w:b/>
          <w:bCs/>
          <w:color w:val="2E75B6"/>
          <w:sz w:val="26"/>
          <w:szCs w:val="26"/>
        </w:rPr>
        <w:t xml:space="preserve">#6 Regulatory &amp; Statutory Reporting — EEO-1, OSHA, OFCCP, Country-Specific Filings</w:t>
      </w:r>
    </w:p>
    <w:p>
      <w:pPr>
        <w:spacing w:after="120"/>
      </w:pPr>
      <w:r>
        <w:rPr>
          <w:b w:val="false"/>
          <w:bCs w:val="false"/>
          <w:i w:val="false"/>
          <w:iCs w:val="false"/>
          <w:color w:val="000000"/>
          <w:sz w:val="22"/>
          <w:szCs w:val="22"/>
        </w:rPr>
        <w:t xml:space="preserve">Country- and jurisdiction-specific filings are a continuous compliance treadmill.</w:t>
      </w:r>
    </w:p>
    <w:p>
      <w:pPr>
        <w:pStyle w:val="ListParagraph"/>
        <w:numPr>
          <w:ilvl w:val="0"/>
          <w:numId w:val="2"/>
        </w:numPr>
        <w:spacing w:after="80"/>
      </w:pPr>
      <w:r>
        <w:rPr>
          <w:sz w:val="22"/>
          <w:szCs w:val="22"/>
        </w:rPr>
        <w:t xml:space="preserve">US: EEO-1 (annual demographic reporting), AAP/OFCCP for federal contractors, OSHA injury logs, Form 5500 for retirement plans</w:t>
      </w:r>
    </w:p>
    <w:p>
      <w:pPr>
        <w:pStyle w:val="ListParagraph"/>
        <w:numPr>
          <w:ilvl w:val="0"/>
          <w:numId w:val="2"/>
        </w:numPr>
        <w:spacing w:after="80"/>
      </w:pPr>
      <w:r>
        <w:rPr>
          <w:sz w:val="22"/>
          <w:szCs w:val="22"/>
        </w:rPr>
        <w:t xml:space="preserve">UK: Gender Pay Gap reporting (mandatory for 250+ employees), IR35 contractor classification</w:t>
      </w:r>
    </w:p>
    <w:p>
      <w:pPr>
        <w:pStyle w:val="ListParagraph"/>
        <w:numPr>
          <w:ilvl w:val="0"/>
          <w:numId w:val="2"/>
        </w:numPr>
        <w:spacing w:after="80"/>
      </w:pPr>
      <w:r>
        <w:rPr>
          <w:sz w:val="22"/>
          <w:szCs w:val="22"/>
        </w:rPr>
        <w:t xml:space="preserve">India: PF/ESI/Gratuity statutory filings, Professional Tax by state</w:t>
      </w:r>
    </w:p>
    <w:p>
      <w:pPr>
        <w:pStyle w:val="ListParagraph"/>
        <w:numPr>
          <w:ilvl w:val="0"/>
          <w:numId w:val="2"/>
        </w:numPr>
        <w:spacing w:after="80"/>
      </w:pPr>
      <w:r>
        <w:rPr>
          <w:sz w:val="22"/>
          <w:szCs w:val="22"/>
        </w:rPr>
        <w:t xml:space="preserve">China: Province-specific social insurance matrices that vary by city</w:t>
      </w:r>
    </w:p>
    <w:p>
      <w:pPr>
        <w:pStyle w:val="ListParagraph"/>
        <w:numPr>
          <w:ilvl w:val="0"/>
          <w:numId w:val="2"/>
        </w:numPr>
        <w:spacing w:after="80"/>
      </w:pPr>
      <w:r>
        <w:rPr>
          <w:sz w:val="22"/>
          <w:szCs w:val="22"/>
        </w:rPr>
        <w:t xml:space="preserve">PwC 2025 Global Payroll Survey: 72% of multinationals incurred at least one payroll penalty averaging $250,000 — a substantial portion of these were non-payroll-tax issues (registration, statutory filings, social insurance)</w:t>
      </w:r>
    </w:p>
    <w:p>
      <w:pPr>
        <w:spacing w:after="120"/>
      </w:pPr>
      <w:r>
        <w:rPr>
          <w:b w:val="false"/>
          <w:bCs w:val="false"/>
          <w:i/>
          <w:iCs/>
          <w:color w:val="595959"/>
          <w:sz w:val="19"/>
          <w:szCs w:val="19"/>
        </w:rPr>
        <w:t xml:space="preserve">Source: PwC 2025 Global Payroll Survey via Mordor Intelligence; vendor regulatory documentation for Workday/Oracle/SAP global payroll; UK Gender Pay Gap Service.</w:t>
      </w:r>
    </w:p>
    <w:p>
      <w:pPr>
        <w:pStyle w:val="Heading2"/>
        <w:spacing w:after="140" w:before="200"/>
      </w:pPr>
      <w:r>
        <w:rPr>
          <w:b/>
          <w:bCs/>
          <w:color w:val="2E75B6"/>
          <w:sz w:val="26"/>
          <w:szCs w:val="26"/>
        </w:rPr>
        <w:t xml:space="preserve">Bottom Line on Compliance</w:t>
      </w:r>
    </w:p>
    <w:p>
      <w:pPr>
        <w:spacing w:after="120"/>
      </w:pPr>
      <w:r>
        <w:rPr>
          <w:b w:val="false"/>
          <w:bCs w:val="false"/>
          <w:i w:val="false"/>
          <w:iCs w:val="false"/>
          <w:color w:val="000000"/>
          <w:sz w:val="22"/>
          <w:szCs w:val="22"/>
        </w:rPr>
        <w:t xml:space="preserve">Payroll/Tax is the most-cited compliance pain because it is universal across all employees and all jurisdictions. But Benefits Administration is comparable in complexity, Pay Equity is the fastest-growing new pain for 2025–2026, and Time &amp; Labor compliance is the dominant pain for shift-based industries. Strategic HCM buyers should evaluate compliance breadth across all six areas, not just payroll.</w:t>
      </w:r>
    </w:p>
    <w:p>
      <w:pPr>
        <w:pStyle w:val="Heading1"/>
        <w:spacing w:after="180" w:before="240"/>
      </w:pPr>
      <w:r>
        <w:rPr>
          <w:b/>
          <w:bCs/>
          <w:color w:val="1F3864"/>
          <w:sz w:val="32"/>
          <w:szCs w:val="32"/>
        </w:rPr>
        <w:t xml:space="preserve">Methodology &amp; Sources</w:t>
      </w:r>
    </w:p>
    <w:p>
      <w:pPr>
        <w:spacing w:after="120"/>
      </w:pPr>
      <w:r>
        <w:rPr>
          <w:b w:val="false"/>
          <w:bCs w:val="false"/>
          <w:i w:val="false"/>
          <w:iCs w:val="false"/>
          <w:color w:val="000000"/>
          <w:sz w:val="22"/>
          <w:szCs w:val="22"/>
        </w:rPr>
        <w:t xml:space="preserve">Pain points were identified from verified customer reviews on independent platforms, complaint records, Oracle community discussions, and analyst research firms. Each pain point reflects a recurring theme — single anecdotes were excluded.</w:t>
      </w:r>
    </w:p>
    <w:p>
      <w:pPr>
        <w:pStyle w:val="Heading2"/>
        <w:spacing w:after="140" w:before="200"/>
      </w:pPr>
      <w:r>
        <w:rPr>
          <w:b/>
          <w:bCs/>
          <w:color w:val="2E75B6"/>
          <w:sz w:val="26"/>
          <w:szCs w:val="26"/>
        </w:rPr>
        <w:t xml:space="preserve">Primary Sources</w:t>
      </w:r>
    </w:p>
    <w:p>
      <w:pPr>
        <w:pStyle w:val="ListParagraph"/>
        <w:numPr>
          <w:ilvl w:val="0"/>
          <w:numId w:val="2"/>
        </w:numPr>
        <w:spacing w:after="80"/>
      </w:pPr>
      <w:r>
        <w:rPr>
          <w:sz w:val="22"/>
          <w:szCs w:val="22"/>
        </w:rPr>
        <w:t xml:space="preserve">Gartner Peer Insights — Oracle Fusion Cloud HCM and Oracle Fusion Data Intelligence verified reviews</w:t>
      </w:r>
    </w:p>
    <w:p>
      <w:pPr>
        <w:pStyle w:val="ListParagraph"/>
        <w:numPr>
          <w:ilvl w:val="0"/>
          <w:numId w:val="2"/>
        </w:numPr>
        <w:spacing w:after="80"/>
      </w:pPr>
      <w:r>
        <w:rPr>
          <w:sz w:val="22"/>
          <w:szCs w:val="22"/>
        </w:rPr>
        <w:t xml:space="preserve">G2 — Workday HCM, Rippling, BambooHR verified reviews</w:t>
      </w:r>
    </w:p>
    <w:p>
      <w:pPr>
        <w:pStyle w:val="ListParagraph"/>
        <w:numPr>
          <w:ilvl w:val="0"/>
          <w:numId w:val="2"/>
        </w:numPr>
        <w:spacing w:after="80"/>
      </w:pPr>
      <w:r>
        <w:rPr>
          <w:sz w:val="22"/>
          <w:szCs w:val="22"/>
        </w:rPr>
        <w:t xml:space="preserve">Capterra — Workday HCM, Rippling, BambooHR, Gusto verified reviews</w:t>
      </w:r>
    </w:p>
    <w:p>
      <w:pPr>
        <w:pStyle w:val="ListParagraph"/>
        <w:numPr>
          <w:ilvl w:val="0"/>
          <w:numId w:val="2"/>
        </w:numPr>
        <w:spacing w:after="80"/>
      </w:pPr>
      <w:r>
        <w:rPr>
          <w:sz w:val="22"/>
          <w:szCs w:val="22"/>
        </w:rPr>
        <w:t xml:space="preserve">Software Advice — Workday HCM profile and reviews</w:t>
      </w:r>
    </w:p>
    <w:p>
      <w:pPr>
        <w:pStyle w:val="ListParagraph"/>
        <w:numPr>
          <w:ilvl w:val="0"/>
          <w:numId w:val="2"/>
        </w:numPr>
        <w:spacing w:after="80"/>
      </w:pPr>
      <w:r>
        <w:rPr>
          <w:sz w:val="22"/>
          <w:szCs w:val="22"/>
        </w:rPr>
        <w:t xml:space="preserve">Trustpilot — Gusto and BambooHR customer reviews</w:t>
      </w:r>
    </w:p>
    <w:p>
      <w:pPr>
        <w:pStyle w:val="ListParagraph"/>
        <w:numPr>
          <w:ilvl w:val="0"/>
          <w:numId w:val="2"/>
        </w:numPr>
        <w:spacing w:after="80"/>
      </w:pPr>
      <w:r>
        <w:rPr>
          <w:sz w:val="22"/>
          <w:szCs w:val="22"/>
        </w:rPr>
        <w:t xml:space="preserve">Better Business Bureau — Gusto customer reviews and complaints</w:t>
      </w:r>
    </w:p>
    <w:p>
      <w:pPr>
        <w:pStyle w:val="ListParagraph"/>
        <w:numPr>
          <w:ilvl w:val="0"/>
          <w:numId w:val="2"/>
        </w:numPr>
        <w:spacing w:after="80"/>
      </w:pPr>
      <w:r>
        <w:rPr>
          <w:sz w:val="22"/>
          <w:szCs w:val="22"/>
        </w:rPr>
        <w:t xml:space="preserve">PeerSpot — SAP SuccessFactors, UKG, Dayforce comparative reviews</w:t>
      </w:r>
    </w:p>
    <w:p>
      <w:pPr>
        <w:pStyle w:val="ListParagraph"/>
        <w:numPr>
          <w:ilvl w:val="0"/>
          <w:numId w:val="2"/>
        </w:numPr>
        <w:spacing w:after="80"/>
      </w:pPr>
      <w:r>
        <w:rPr>
          <w:sz w:val="22"/>
          <w:szCs w:val="22"/>
        </w:rPr>
        <w:t xml:space="preserve">Oracle Community — Fusion Data Intelligence and Oracle Analytics forums</w:t>
      </w:r>
    </w:p>
    <w:p>
      <w:pPr>
        <w:pStyle w:val="ListParagraph"/>
        <w:numPr>
          <w:ilvl w:val="0"/>
          <w:numId w:val="2"/>
        </w:numPr>
        <w:spacing w:after="80"/>
      </w:pPr>
      <w:r>
        <w:rPr>
          <w:sz w:val="22"/>
          <w:szCs w:val="22"/>
        </w:rPr>
        <w:t xml:space="preserve">Apps Associates — Lessons Learned after 20 Oracle Fusion Data Intelligence Implementations (June 2025)</w:t>
      </w:r>
    </w:p>
    <w:p>
      <w:pPr>
        <w:pStyle w:val="ListParagraph"/>
        <w:numPr>
          <w:ilvl w:val="0"/>
          <w:numId w:val="2"/>
        </w:numPr>
        <w:spacing w:after="80"/>
      </w:pPr>
      <w:r>
        <w:rPr>
          <w:sz w:val="22"/>
          <w:szCs w:val="22"/>
        </w:rPr>
        <w:t xml:space="preserve">Trinamix Oracle FDI partner site (November 2025)</w:t>
      </w:r>
    </w:p>
    <w:p>
      <w:pPr>
        <w:pStyle w:val="ListParagraph"/>
        <w:numPr>
          <w:ilvl w:val="0"/>
          <w:numId w:val="2"/>
        </w:numPr>
        <w:spacing w:after="80"/>
      </w:pPr>
      <w:r>
        <w:rPr>
          <w:sz w:val="22"/>
          <w:szCs w:val="22"/>
        </w:rPr>
        <w:t xml:space="preserve">HR Technology Advice — Workday HCM customer reviews</w:t>
      </w:r>
    </w:p>
    <w:p>
      <w:pPr>
        <w:pStyle w:val="ListParagraph"/>
        <w:numPr>
          <w:ilvl w:val="0"/>
          <w:numId w:val="2"/>
        </w:numPr>
        <w:spacing w:after="80"/>
      </w:pPr>
      <w:r>
        <w:rPr>
          <w:sz w:val="22"/>
          <w:szCs w:val="22"/>
        </w:rPr>
        <w:t xml:space="preserve">Skima.ai — Workday HCM Review 2026 and ADP Alternatives Analysis (Feb 2026)</w:t>
      </w:r>
    </w:p>
    <w:p>
      <w:pPr>
        <w:pStyle w:val="ListParagraph"/>
        <w:numPr>
          <w:ilvl w:val="0"/>
          <w:numId w:val="2"/>
        </w:numPr>
        <w:spacing w:after="80"/>
      </w:pPr>
      <w:r>
        <w:rPr>
          <w:sz w:val="22"/>
          <w:szCs w:val="22"/>
        </w:rPr>
        <w:t xml:space="preserve">Outsail — Workday and BambooHR cost/feature analyses</w:t>
      </w:r>
    </w:p>
    <w:p>
      <w:pPr>
        <w:pStyle w:val="ListParagraph"/>
        <w:numPr>
          <w:ilvl w:val="0"/>
          <w:numId w:val="2"/>
        </w:numPr>
        <w:spacing w:after="80"/>
      </w:pPr>
      <w:r>
        <w:rPr>
          <w:sz w:val="22"/>
          <w:szCs w:val="22"/>
        </w:rPr>
        <w:t xml:space="preserve">HRStacks — Rippling Review 2026 (17,000+ aggregated review data points)</w:t>
      </w:r>
    </w:p>
    <w:p>
      <w:pPr>
        <w:pStyle w:val="ListParagraph"/>
        <w:numPr>
          <w:ilvl w:val="0"/>
          <w:numId w:val="2"/>
        </w:numPr>
        <w:spacing w:after="80"/>
      </w:pPr>
      <w:r>
        <w:rPr>
          <w:sz w:val="22"/>
          <w:szCs w:val="22"/>
        </w:rPr>
        <w:t xml:space="preserve">SelectSoftware Reviews — BambooHR Expert Review 2026</w:t>
      </w:r>
    </w:p>
    <w:p>
      <w:pPr>
        <w:pStyle w:val="ListParagraph"/>
        <w:numPr>
          <w:ilvl w:val="0"/>
          <w:numId w:val="2"/>
        </w:numPr>
        <w:spacing w:after="80"/>
      </w:pPr>
      <w:r>
        <w:rPr>
          <w:sz w:val="22"/>
          <w:szCs w:val="22"/>
        </w:rPr>
        <w:t xml:space="preserve">HiBob — UKG and SAP SuccessFactors alternatives reviews (March 2026)</w:t>
      </w:r>
    </w:p>
    <w:p>
      <w:pPr>
        <w:pStyle w:val="Heading2"/>
        <w:spacing w:after="140" w:before="200"/>
      </w:pPr>
      <w:r>
        <w:rPr>
          <w:b/>
          <w:bCs/>
          <w:color w:val="2E75B6"/>
          <w:sz w:val="26"/>
          <w:szCs w:val="26"/>
        </w:rPr>
        <w:t xml:space="preserve">Industry Research &amp; Analyst Sources</w:t>
      </w:r>
    </w:p>
    <w:p>
      <w:pPr>
        <w:pStyle w:val="ListParagraph"/>
        <w:numPr>
          <w:ilvl w:val="0"/>
          <w:numId w:val="2"/>
        </w:numPr>
        <w:spacing w:after="80"/>
      </w:pPr>
      <w:r>
        <w:rPr>
          <w:sz w:val="22"/>
          <w:szCs w:val="22"/>
        </w:rPr>
        <w:t xml:space="preserve">PwC 2025 Global Payroll Survey (via Mordor Intelligence HCM Software Market Report, Feb 2026)</w:t>
      </w:r>
    </w:p>
    <w:p>
      <w:pPr>
        <w:pStyle w:val="ListParagraph"/>
        <w:numPr>
          <w:ilvl w:val="0"/>
          <w:numId w:val="2"/>
        </w:numPr>
        <w:spacing w:after="80"/>
      </w:pPr>
      <w:r>
        <w:rPr>
          <w:sz w:val="22"/>
          <w:szCs w:val="22"/>
        </w:rPr>
        <w:t xml:space="preserve">Harvard Business Review Analytic Services — workforce planning survey</w:t>
      </w:r>
    </w:p>
    <w:p>
      <w:pPr>
        <w:pStyle w:val="ListParagraph"/>
        <w:numPr>
          <w:ilvl w:val="0"/>
          <w:numId w:val="2"/>
        </w:numPr>
        <w:spacing w:after="80"/>
      </w:pPr>
      <w:r>
        <w:rPr>
          <w:sz w:val="22"/>
          <w:szCs w:val="22"/>
        </w:rPr>
        <w:t xml:space="preserve">Korn Ferry CHRO survey on data-driven people decisions</w:t>
      </w:r>
    </w:p>
    <w:p>
      <w:pPr>
        <w:pStyle w:val="ListParagraph"/>
        <w:numPr>
          <w:ilvl w:val="0"/>
          <w:numId w:val="2"/>
        </w:numPr>
        <w:spacing w:after="80"/>
      </w:pPr>
      <w:r>
        <w:rPr>
          <w:sz w:val="22"/>
          <w:szCs w:val="22"/>
        </w:rPr>
        <w:t xml:space="preserve">Forrester — Human Capital Management Solutions Landscape Q2 2025; Forrester Wave HCM Q4 2025</w:t>
      </w:r>
    </w:p>
    <w:p>
      <w:pPr>
        <w:pStyle w:val="ListParagraph"/>
        <w:numPr>
          <w:ilvl w:val="0"/>
          <w:numId w:val="2"/>
        </w:numPr>
        <w:spacing w:after="80"/>
      </w:pPr>
      <w:r>
        <w:rPr>
          <w:sz w:val="22"/>
          <w:szCs w:val="22"/>
        </w:rPr>
        <w:t xml:space="preserve">NelsonHall HCM Technology &amp; GenAI 2025 NEAT</w:t>
      </w:r>
    </w:p>
    <w:p>
      <w:pPr>
        <w:pStyle w:val="ListParagraph"/>
        <w:numPr>
          <w:ilvl w:val="0"/>
          <w:numId w:val="2"/>
        </w:numPr>
        <w:spacing w:after="80"/>
      </w:pPr>
      <w:r>
        <w:rPr>
          <w:sz w:val="22"/>
          <w:szCs w:val="22"/>
        </w:rPr>
        <w:t xml:space="preserve">Mordor Intelligence — HCM Software Market Report (February 2026)</w:t>
      </w:r>
    </w:p>
    <w:p>
      <w:pPr>
        <w:pStyle w:val="ListParagraph"/>
        <w:numPr>
          <w:ilvl w:val="0"/>
          <w:numId w:val="2"/>
        </w:numPr>
        <w:spacing w:after="80"/>
      </w:pPr>
      <w:r>
        <w:rPr>
          <w:sz w:val="22"/>
          <w:szCs w:val="22"/>
        </w:rPr>
        <w:t xml:space="preserve">Ken Research — Global HCM Software Market 2025</w:t>
      </w:r>
    </w:p>
    <w:p>
      <w:pPr>
        <w:pStyle w:val="ListParagraph"/>
        <w:numPr>
          <w:ilvl w:val="0"/>
          <w:numId w:val="2"/>
        </w:numPr>
        <w:spacing w:after="80"/>
      </w:pPr>
      <w:r>
        <w:rPr>
          <w:sz w:val="22"/>
          <w:szCs w:val="22"/>
        </w:rPr>
        <w:t xml:space="preserve">Perceptyx Workplace Panel benchmark data (January 2026)</w:t>
      </w:r>
    </w:p>
    <w:p>
      <w:pPr>
        <w:pStyle w:val="ListParagraph"/>
        <w:numPr>
          <w:ilvl w:val="0"/>
          <w:numId w:val="2"/>
        </w:numPr>
        <w:spacing w:after="80"/>
      </w:pPr>
      <w:r>
        <w:rPr>
          <w:sz w:val="22"/>
          <w:szCs w:val="22"/>
        </w:rPr>
        <w:t xml:space="preserve">CIO.com — Why HR professionals struggle with big data (March 2025)</w:t>
      </w:r>
    </w:p>
    <w:p>
      <w:pPr>
        <w:pStyle w:val="ListParagraph"/>
        <w:numPr>
          <w:ilvl w:val="0"/>
          <w:numId w:val="2"/>
        </w:numPr>
        <w:spacing w:after="80"/>
      </w:pPr>
      <w:r>
        <w:rPr>
          <w:sz w:val="22"/>
          <w:szCs w:val="22"/>
        </w:rPr>
        <w:t xml:space="preserve">Workday Adaptive Planning, Anaplan, Visier — workforce planning vendor analyses</w:t>
      </w:r>
    </w:p>
    <w:p>
      <w:pPr>
        <w:pStyle w:val="ListParagraph"/>
        <w:numPr>
          <w:ilvl w:val="0"/>
          <w:numId w:val="2"/>
        </w:numPr>
        <w:spacing w:after="80"/>
      </w:pPr>
      <w:r>
        <w:rPr>
          <w:sz w:val="22"/>
          <w:szCs w:val="22"/>
        </w:rPr>
        <w:t xml:space="preserve">WEX, ADP, isolved, Armanino — benefits administration analyses (2025–2026)</w:t>
      </w:r>
    </w:p>
    <w:p>
      <w:pPr>
        <w:spacing w:after="120"/>
      </w:pPr>
      <w:r>
        <w:rPr>
          <w:b w:val="false"/>
          <w:bCs w:val="false"/>
          <w:i w:val="false"/>
          <w:iCs w:val="false"/>
          <w:color w:val="000000"/>
          <w:sz w:val="22"/>
          <w:szCs w:val="22"/>
        </w:rPr>
        <w:t xml:space="preserve"/>
      </w:r>
    </w:p>
    <w:p>
      <w:pPr>
        <w:spacing w:after="120"/>
      </w:pPr>
      <w:r>
        <w:rPr>
          <w:b w:val="false"/>
          <w:bCs w:val="false"/>
          <w:i/>
          <w:iCs/>
          <w:color w:val="595959"/>
          <w:sz w:val="19"/>
          <w:szCs w:val="19"/>
        </w:rPr>
        <w:t xml:space="preserve">Note: Vendor-published case studies were excluded. Reviewer quotes shown in source attributions are paraphrased or short verifying snippets; full reviews are accessible at the cited platforms.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2026-05-01T16:26:46.302Z</dcterms:created>
  <dcterms:modified xsi:type="dcterms:W3CDTF">2026-05-01T16:26:46.319Z</dcterms:modified>
</cp:coreProperties>
</file>

<file path=docProps/custom.xml><?xml version="1.0" encoding="utf-8"?>
<Properties xmlns="http://schemas.openxmlformats.org/officeDocument/2006/custom-properties" xmlns:vt="http://schemas.openxmlformats.org/officeDocument/2006/docPropsVTypes"/>
</file>