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2A4A"/>
          <w:sz w:val="56"/>
        </w:rPr>
        <w:t>Student Early Warning Dashboard</w:t>
      </w:r>
    </w:p>
    <w:p>
      <w:pPr>
        <w:jc w:val="center"/>
      </w:pPr>
      <w:r>
        <w:rPr>
          <w:i/>
          <w:color w:val="2E5090"/>
          <w:sz w:val="32"/>
        </w:rPr>
        <w:t>Analytical Project Report</w:t>
      </w:r>
    </w:p>
    <w:p/>
    <w:p>
      <w:pPr>
        <w:jc w:val="center"/>
      </w:pPr>
      <w:r>
        <w:rPr>
          <w:color w:val="E8A838"/>
          <w:sz w:val="24"/>
        </w:rPr>
        <w:t>───────────────────────────────────────────────────────</w:t>
      </w:r>
    </w:p>
    <w:p/>
    <w:p>
      <w:pPr>
        <w:spacing w:after="100"/>
        <w:jc w:val="center"/>
      </w:pPr>
      <w:r>
        <w:rPr>
          <w:b w:val="0"/>
          <w:color w:val="404040"/>
          <w:sz w:val="24"/>
        </w:rPr>
        <w:t>Prepared by:  Prachi Singh</w:t>
      </w:r>
    </w:p>
    <w:p>
      <w:pPr>
        <w:spacing w:after="100"/>
        <w:jc w:val="center"/>
      </w:pPr>
      <w:r>
        <w:rPr>
          <w:b w:val="0"/>
          <w:color w:val="2E5090"/>
          <w:sz w:val="19"/>
        </w:rPr>
        <w:t>GitHub Repository:  https://github.com/prachisingh342006/data_analytics_project</w:t>
      </w:r>
    </w:p>
    <w:p>
      <w:pPr>
        <w:spacing w:after="100"/>
        <w:jc w:val="center"/>
      </w:pPr>
      <w:r>
        <w:rPr>
          <w:b w:val="0"/>
          <w:color w:val="404040"/>
          <w:sz w:val="21"/>
        </w:rPr>
        <w:t>Dataset:  2,392 Students · 15 Variables · University Performance Data</w:t>
      </w:r>
    </w:p>
    <w:p>
      <w:pPr>
        <w:spacing w:after="100"/>
        <w:jc w:val="center"/>
      </w:pPr>
      <w:r>
        <w:rPr>
          <w:b w:val="0"/>
          <w:color w:val="404040"/>
          <w:sz w:val="21"/>
        </w:rPr>
        <w:t>Report Date:  21 February 2026</w:t>
      </w:r>
    </w:p>
    <w:p>
      <w:pPr>
        <w:spacing w:after="100"/>
        <w:jc w:val="center"/>
      </w:pPr>
      <w:r>
        <w:rPr>
          <w:b w:val="0"/>
          <w:color w:val="404040"/>
          <w:sz w:val="21"/>
        </w:rPr>
        <w:t>Technology Stack:  Python · Plotly Dash · Pandas · NumPy · OpenPyXL</w:t>
      </w:r>
    </w:p>
    <w:p/>
    <w:p/>
    <w:p/>
    <w:p/>
    <w:p/>
    <w:p>
      <w:pPr>
        <w:jc w:val="center"/>
      </w:pPr>
      <w:r>
        <w:rPr>
          <w:b/>
          <w:color w:val="C00000"/>
          <w:sz w:val="18"/>
        </w:rPr>
        <w:t>FOR ACADEMIC ADVISORY USE ONLY  ·  CONFIDENTIAL</w:t>
      </w:r>
    </w:p>
    <w:p>
      <w:r>
        <w:br w:type="page"/>
      </w:r>
    </w:p>
    <w:p>
      <w:pPr>
        <w:spacing w:before="80" w:after="160"/>
        <w:jc w:val="left"/>
        <w:pBdr>
          <w:bottom w:val="single" w:sz="6" w:space="1" w:color="2E5090"/>
        </w:pBdr>
      </w:pPr>
      <w:r>
        <w:rPr>
          <w:b/>
          <w:color w:val="1B2A4A"/>
          <w:sz w:val="40"/>
        </w:rPr>
        <w:t>Table of Contents</w:t>
      </w:r>
    </w:p>
    <w:tbl>
      <w:tblPr>
        <w:tblStyle w:val="TableGrid"/>
        <w:tblW w:type="auto" w:w="0"/>
        <w:jc w:val="center"/>
        <w:tblLook w:firstColumn="1" w:firstRow="1" w:lastColumn="0" w:lastRow="0" w:noHBand="0" w:noVBand="1" w:val="04A0"/>
      </w:tblPr>
      <w:tblGrid>
        <w:gridCol w:w="576"/>
        <w:gridCol w:w="6912"/>
        <w:gridCol w:w="864"/>
      </w:tblGrid>
      <w:tr>
        <w:tc>
          <w:tcPr>
            <w:tcW w:type="dxa" w:w="3024"/>
            <w:shd w:val="clear" w:color="auto" w:fill="EBF2FA"/>
          </w:tcPr>
          <w:p>
            <w:pPr>
              <w:jc w:val="center"/>
            </w:pPr>
            <w:r>
              <w:rPr>
                <w:sz w:val="21"/>
              </w:rPr>
              <w:t>1.</w:t>
            </w:r>
          </w:p>
        </w:tc>
        <w:tc>
          <w:tcPr>
            <w:tcW w:type="dxa" w:w="3024"/>
            <w:shd w:val="clear" w:color="auto" w:fill="EBF2FA"/>
          </w:tcPr>
          <w:p>
            <w:pPr>
              <w:jc w:val="left"/>
            </w:pPr>
            <w:r>
              <w:rPr>
                <w:color w:val="2E5090"/>
                <w:sz w:val="21"/>
              </w:rPr>
              <w:t>Executive Summary</w:t>
            </w:r>
          </w:p>
        </w:tc>
        <w:tc>
          <w:tcPr>
            <w:tcW w:type="dxa" w:w="3024"/>
            <w:shd w:val="clear" w:color="auto" w:fill="EBF2FA"/>
          </w:tcPr>
          <w:p>
            <w:pPr>
              <w:jc w:val="center"/>
            </w:pPr>
            <w:r>
              <w:rPr>
                <w:sz w:val="21"/>
              </w:rPr>
              <w:t>3</w:t>
            </w:r>
          </w:p>
        </w:tc>
      </w:tr>
      <w:tr>
        <w:tc>
          <w:tcPr>
            <w:tcW w:type="dxa" w:w="3024"/>
            <w:shd w:val="clear" w:color="auto" w:fill="FFFFFF"/>
          </w:tcPr>
          <w:p>
            <w:pPr>
              <w:jc w:val="center"/>
            </w:pPr>
            <w:r>
              <w:rPr>
                <w:sz w:val="21"/>
              </w:rPr>
              <w:t>2.</w:t>
            </w:r>
          </w:p>
        </w:tc>
        <w:tc>
          <w:tcPr>
            <w:tcW w:type="dxa" w:w="3024"/>
            <w:shd w:val="clear" w:color="auto" w:fill="FFFFFF"/>
          </w:tcPr>
          <w:p>
            <w:pPr>
              <w:jc w:val="left"/>
            </w:pPr>
            <w:r>
              <w:rPr>
                <w:color w:val="2E5090"/>
                <w:sz w:val="21"/>
              </w:rPr>
              <w:t>Project Overview &amp; Objectives</w:t>
            </w:r>
          </w:p>
        </w:tc>
        <w:tc>
          <w:tcPr>
            <w:tcW w:type="dxa" w:w="3024"/>
            <w:shd w:val="clear" w:color="auto" w:fill="FFFFFF"/>
          </w:tcPr>
          <w:p>
            <w:pPr>
              <w:jc w:val="center"/>
            </w:pPr>
            <w:r>
              <w:rPr>
                <w:sz w:val="21"/>
              </w:rPr>
              <w:t>4</w:t>
            </w:r>
          </w:p>
        </w:tc>
      </w:tr>
      <w:tr>
        <w:tc>
          <w:tcPr>
            <w:tcW w:type="dxa" w:w="3024"/>
            <w:shd w:val="clear" w:color="auto" w:fill="EBF2FA"/>
          </w:tcPr>
          <w:p>
            <w:pPr>
              <w:jc w:val="center"/>
            </w:pPr>
            <w:r>
              <w:rPr>
                <w:sz w:val="21"/>
              </w:rPr>
              <w:t>3.</w:t>
            </w:r>
          </w:p>
        </w:tc>
        <w:tc>
          <w:tcPr>
            <w:tcW w:type="dxa" w:w="3024"/>
            <w:shd w:val="clear" w:color="auto" w:fill="EBF2FA"/>
          </w:tcPr>
          <w:p>
            <w:pPr>
              <w:jc w:val="left"/>
            </w:pPr>
            <w:r>
              <w:rPr>
                <w:color w:val="2E5090"/>
                <w:sz w:val="21"/>
              </w:rPr>
              <w:t>Dataset Description &amp; Exploratory Analysis</w:t>
            </w:r>
          </w:p>
        </w:tc>
        <w:tc>
          <w:tcPr>
            <w:tcW w:type="dxa" w:w="3024"/>
            <w:shd w:val="clear" w:color="auto" w:fill="EBF2FA"/>
          </w:tcPr>
          <w:p>
            <w:pPr>
              <w:jc w:val="center"/>
            </w:pPr>
            <w:r>
              <w:rPr>
                <w:sz w:val="21"/>
              </w:rPr>
              <w:t>4</w:t>
            </w:r>
          </w:p>
        </w:tc>
      </w:tr>
      <w:tr>
        <w:tc>
          <w:tcPr>
            <w:tcW w:type="dxa" w:w="3024"/>
            <w:shd w:val="clear" w:color="auto" w:fill="FFFFFF"/>
          </w:tcPr>
          <w:p>
            <w:pPr>
              <w:jc w:val="center"/>
            </w:pPr>
            <w:r>
              <w:rPr>
                <w:sz w:val="21"/>
              </w:rPr>
              <w:t>4.</w:t>
            </w:r>
          </w:p>
        </w:tc>
        <w:tc>
          <w:tcPr>
            <w:tcW w:type="dxa" w:w="3024"/>
            <w:shd w:val="clear" w:color="auto" w:fill="FFFFFF"/>
          </w:tcPr>
          <w:p>
            <w:pPr>
              <w:jc w:val="left"/>
            </w:pPr>
            <w:r>
              <w:rPr>
                <w:color w:val="2E5090"/>
                <w:sz w:val="21"/>
              </w:rPr>
              <w:t>Academic Performance Analysis</w:t>
            </w:r>
          </w:p>
        </w:tc>
        <w:tc>
          <w:tcPr>
            <w:tcW w:type="dxa" w:w="3024"/>
            <w:shd w:val="clear" w:color="auto" w:fill="FFFFFF"/>
          </w:tcPr>
          <w:p>
            <w:pPr>
              <w:jc w:val="center"/>
            </w:pPr>
            <w:r>
              <w:rPr>
                <w:sz w:val="21"/>
              </w:rPr>
              <w:t>5</w:t>
            </w:r>
          </w:p>
        </w:tc>
      </w:tr>
      <w:tr>
        <w:tc>
          <w:tcPr>
            <w:tcW w:type="dxa" w:w="3024"/>
            <w:shd w:val="clear" w:color="auto" w:fill="EBF2FA"/>
          </w:tcPr>
          <w:p>
            <w:pPr>
              <w:jc w:val="center"/>
            </w:pPr>
            <w:r>
              <w:rPr>
                <w:sz w:val="21"/>
              </w:rPr>
              <w:t>5.</w:t>
            </w:r>
          </w:p>
        </w:tc>
        <w:tc>
          <w:tcPr>
            <w:tcW w:type="dxa" w:w="3024"/>
            <w:shd w:val="clear" w:color="auto" w:fill="EBF2FA"/>
          </w:tcPr>
          <w:p>
            <w:pPr>
              <w:jc w:val="left"/>
            </w:pPr>
            <w:r>
              <w:rPr>
                <w:color w:val="2E5090"/>
                <w:sz w:val="21"/>
              </w:rPr>
              <w:t>Risk Factor Analysis</w:t>
            </w:r>
          </w:p>
        </w:tc>
        <w:tc>
          <w:tcPr>
            <w:tcW w:type="dxa" w:w="3024"/>
            <w:shd w:val="clear" w:color="auto" w:fill="EBF2FA"/>
          </w:tcPr>
          <w:p>
            <w:pPr>
              <w:jc w:val="center"/>
            </w:pPr>
            <w:r>
              <w:rPr>
                <w:sz w:val="21"/>
              </w:rPr>
              <w:t>5</w:t>
            </w:r>
          </w:p>
        </w:tc>
      </w:tr>
      <w:tr>
        <w:tc>
          <w:tcPr>
            <w:tcW w:type="dxa" w:w="3024"/>
            <w:shd w:val="clear" w:color="auto" w:fill="FFFFFF"/>
          </w:tcPr>
          <w:p>
            <w:pPr>
              <w:jc w:val="center"/>
            </w:pPr>
            <w:r>
              <w:rPr>
                <w:sz w:val="21"/>
              </w:rPr>
              <w:t>6.</w:t>
            </w:r>
          </w:p>
        </w:tc>
        <w:tc>
          <w:tcPr>
            <w:tcW w:type="dxa" w:w="3024"/>
            <w:shd w:val="clear" w:color="auto" w:fill="FFFFFF"/>
          </w:tcPr>
          <w:p>
            <w:pPr>
              <w:jc w:val="left"/>
            </w:pPr>
            <w:r>
              <w:rPr>
                <w:color w:val="2E5090"/>
                <w:sz w:val="21"/>
              </w:rPr>
              <w:t>Performance Risk Index &amp; Scoring</w:t>
            </w:r>
          </w:p>
        </w:tc>
        <w:tc>
          <w:tcPr>
            <w:tcW w:type="dxa" w:w="3024"/>
            <w:shd w:val="clear" w:color="auto" w:fill="FFFFFF"/>
          </w:tcPr>
          <w:p>
            <w:pPr>
              <w:jc w:val="center"/>
            </w:pPr>
            <w:r>
              <w:rPr>
                <w:sz w:val="21"/>
              </w:rPr>
              <w:t>6</w:t>
            </w:r>
          </w:p>
        </w:tc>
      </w:tr>
      <w:tr>
        <w:tc>
          <w:tcPr>
            <w:tcW w:type="dxa" w:w="3024"/>
            <w:shd w:val="clear" w:color="auto" w:fill="EBF2FA"/>
          </w:tcPr>
          <w:p>
            <w:pPr>
              <w:jc w:val="center"/>
            </w:pPr>
            <w:r>
              <w:rPr>
                <w:sz w:val="21"/>
              </w:rPr>
              <w:t>7.</w:t>
            </w:r>
          </w:p>
        </w:tc>
        <w:tc>
          <w:tcPr>
            <w:tcW w:type="dxa" w:w="3024"/>
            <w:shd w:val="clear" w:color="auto" w:fill="EBF2FA"/>
          </w:tcPr>
          <w:p>
            <w:pPr>
              <w:jc w:val="left"/>
            </w:pPr>
            <w:r>
              <w:rPr>
                <w:color w:val="2E5090"/>
                <w:sz w:val="21"/>
              </w:rPr>
              <w:t>Intervention Strategy Simulator</w:t>
            </w:r>
          </w:p>
        </w:tc>
        <w:tc>
          <w:tcPr>
            <w:tcW w:type="dxa" w:w="3024"/>
            <w:shd w:val="clear" w:color="auto" w:fill="EBF2FA"/>
          </w:tcPr>
          <w:p>
            <w:pPr>
              <w:jc w:val="center"/>
            </w:pPr>
            <w:r>
              <w:rPr>
                <w:sz w:val="21"/>
              </w:rPr>
              <w:t>6</w:t>
            </w:r>
          </w:p>
        </w:tc>
      </w:tr>
      <w:tr>
        <w:tc>
          <w:tcPr>
            <w:tcW w:type="dxa" w:w="3024"/>
            <w:shd w:val="clear" w:color="auto" w:fill="FFFFFF"/>
          </w:tcPr>
          <w:p>
            <w:pPr>
              <w:jc w:val="center"/>
            </w:pPr>
            <w:r>
              <w:rPr>
                <w:sz w:val="21"/>
              </w:rPr>
              <w:t>8.</w:t>
            </w:r>
          </w:p>
        </w:tc>
        <w:tc>
          <w:tcPr>
            <w:tcW w:type="dxa" w:w="3024"/>
            <w:shd w:val="clear" w:color="auto" w:fill="FFFFFF"/>
          </w:tcPr>
          <w:p>
            <w:pPr>
              <w:jc w:val="left"/>
            </w:pPr>
            <w:r>
              <w:rPr>
                <w:color w:val="2E5090"/>
                <w:sz w:val="21"/>
              </w:rPr>
              <w:t>Ethics, Fairness &amp; Data Privacy</w:t>
            </w:r>
          </w:p>
        </w:tc>
        <w:tc>
          <w:tcPr>
            <w:tcW w:type="dxa" w:w="3024"/>
            <w:shd w:val="clear" w:color="auto" w:fill="FFFFFF"/>
          </w:tcPr>
          <w:p>
            <w:pPr>
              <w:jc w:val="center"/>
            </w:pPr>
            <w:r>
              <w:rPr>
                <w:sz w:val="21"/>
              </w:rPr>
              <w:t>7</w:t>
            </w:r>
          </w:p>
        </w:tc>
      </w:tr>
      <w:tr>
        <w:tc>
          <w:tcPr>
            <w:tcW w:type="dxa" w:w="3024"/>
            <w:shd w:val="clear" w:color="auto" w:fill="EBF2FA"/>
          </w:tcPr>
          <w:p>
            <w:pPr>
              <w:jc w:val="center"/>
            </w:pPr>
            <w:r>
              <w:rPr>
                <w:sz w:val="21"/>
              </w:rPr>
              <w:t>9.</w:t>
            </w:r>
          </w:p>
        </w:tc>
        <w:tc>
          <w:tcPr>
            <w:tcW w:type="dxa" w:w="3024"/>
            <w:shd w:val="clear" w:color="auto" w:fill="EBF2FA"/>
          </w:tcPr>
          <w:p>
            <w:pPr>
              <w:jc w:val="left"/>
            </w:pPr>
            <w:r>
              <w:rPr>
                <w:color w:val="2E5090"/>
                <w:sz w:val="21"/>
              </w:rPr>
              <w:t>Technical Architecture</w:t>
            </w:r>
          </w:p>
        </w:tc>
        <w:tc>
          <w:tcPr>
            <w:tcW w:type="dxa" w:w="3024"/>
            <w:shd w:val="clear" w:color="auto" w:fill="EBF2FA"/>
          </w:tcPr>
          <w:p>
            <w:pPr>
              <w:jc w:val="center"/>
            </w:pPr>
            <w:r>
              <w:rPr>
                <w:sz w:val="21"/>
              </w:rPr>
              <w:t>7</w:t>
            </w:r>
          </w:p>
        </w:tc>
      </w:tr>
      <w:tr>
        <w:tc>
          <w:tcPr>
            <w:tcW w:type="dxa" w:w="3024"/>
            <w:shd w:val="clear" w:color="auto" w:fill="FFFFFF"/>
          </w:tcPr>
          <w:p>
            <w:pPr>
              <w:jc w:val="center"/>
            </w:pPr>
            <w:r>
              <w:rPr>
                <w:sz w:val="21"/>
              </w:rPr>
              <w:t>10.</w:t>
            </w:r>
          </w:p>
        </w:tc>
        <w:tc>
          <w:tcPr>
            <w:tcW w:type="dxa" w:w="3024"/>
            <w:shd w:val="clear" w:color="auto" w:fill="FFFFFF"/>
          </w:tcPr>
          <w:p>
            <w:pPr>
              <w:jc w:val="left"/>
            </w:pPr>
            <w:r>
              <w:rPr>
                <w:color w:val="2E5090"/>
                <w:sz w:val="21"/>
              </w:rPr>
              <w:t>Conclusions &amp; Recommendations</w:t>
            </w:r>
          </w:p>
        </w:tc>
        <w:tc>
          <w:tcPr>
            <w:tcW w:type="dxa" w:w="3024"/>
            <w:shd w:val="clear" w:color="auto" w:fill="FFFFFF"/>
          </w:tcPr>
          <w:p>
            <w:pPr>
              <w:jc w:val="center"/>
            </w:pPr>
            <w:r>
              <w:rPr>
                <w:sz w:val="21"/>
              </w:rPr>
              <w:t>8</w:t>
            </w:r>
          </w:p>
        </w:tc>
      </w:tr>
    </w:tbl>
    <w:p/>
    <w:p>
      <w:pPr>
        <w:spacing w:before="280" w:after="160"/>
        <w:jc w:val="left"/>
        <w:pBdr>
          <w:bottom w:val="single" w:sz="6" w:space="1" w:color="2E5090"/>
        </w:pBdr>
      </w:pPr>
      <w:r>
        <w:rPr>
          <w:b/>
          <w:color w:val="1B2A4A"/>
          <w:sz w:val="40"/>
        </w:rPr>
        <w:t>1. Executive Summary</w:t>
      </w:r>
    </w:p>
    <w:p>
      <w:pPr>
        <w:spacing w:after="120" w:before="40"/>
      </w:pPr>
      <w:r>
        <w:rPr>
          <w:b w:val="0"/>
          <w:i w:val="0"/>
          <w:color w:val="404040"/>
          <w:sz w:val="21"/>
        </w:rPr>
        <w:t>The Student Early Warning Dashboard is a comprehensive, data-driven early intervention system designed to identify students at risk of academic failure and support institutions in reducing university failure rates by a minimum of 20%. The system analyses a cohort of 2,392 students across 15 academic and socio-demographic variables, generating a composite risk score for every student and providing actionable recommendations through five interactive dashboard modules.</w:t>
      </w:r>
    </w:p>
    <w:p>
      <w:pPr>
        <w:spacing w:after="120" w:before="40"/>
      </w:pPr>
      <w:r>
        <w:rPr>
          <w:b w:val="0"/>
          <w:i w:val="0"/>
          <w:color w:val="404040"/>
          <w:sz w:val="21"/>
        </w:rPr>
        <w:t>Key findings from the analysis reveal a failure rate of 50.6% — a critical institutional challenge. The strongest predictor of academic failure is student absenteeism, which correlates with GPA at r = −0.9193, followed by parental support (r = +0.1908) and weekly study hours (r = +0.1793). Of the 2,392 students, 329 are classified as Critical risk (score 75–100) and 840 as High risk (score 55–75), totalling 1,169 students requiring immediate intervention.</w:t>
      </w:r>
    </w:p>
    <w:p>
      <w:pPr>
        <w:spacing w:after="120" w:before="40"/>
      </w:pPr>
      <w:r>
        <w:rPr>
          <w:b w:val="0"/>
          <w:i w:val="0"/>
          <w:color w:val="404040"/>
          <w:sz w:val="21"/>
        </w:rPr>
        <w:t>Modelling demonstrates that a combined intervention — increasing weekly study time by 5 hours, reducing absences by 5, and enrolling 20% of at-risk students in tutoring — is projected to save 148 students from failure, reducing the overall fail rate from 50.6% to 44.4% (a 12.3% relative reduction). Scaling these interventions further can meet or exceed the 20% target. The system is deployed as a live interactive web dashboard (Plotly Dash) and an Excel workbook with 100+ live formulas and 14+ charts.</w:t>
      </w:r>
    </w:p>
    <w:p>
      <w:pPr>
        <w:spacing w:before="360" w:after="160"/>
      </w:pPr>
      <w:r>
        <w:rPr>
          <w:b/>
          <w:color w:val="1B2A4A"/>
          <w:sz w:val="30"/>
        </w:rPr>
        <w:t>Key Performance Indicators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B2A4A"/>
            <w:vAlign w:val="center"/>
          </w:tcPr>
          <w:p>
            <w:pPr>
              <w:spacing w:before="120" w:after="120"/>
              <w:jc w:val="center"/>
            </w:pPr>
            <w:r>
              <w:rPr>
                <w:b/>
                <w:color w:val="FFFFFF"/>
                <w:sz w:val="36"/>
              </w:rPr>
              <w:t>2,392</w:t>
            </w:r>
          </w:p>
          <w:p>
            <w:pPr>
              <w:spacing w:before="120" w:after="120"/>
              <w:jc w:val="center"/>
            </w:pPr>
            <w:r>
              <w:rPr>
                <w:color w:val="FFFFFF"/>
                <w:sz w:val="18"/>
              </w:rPr>
              <w:t>Total Students</w:t>
            </w:r>
          </w:p>
        </w:tc>
        <w:tc>
          <w:tcPr>
            <w:tcW w:type="dxa" w:w="1814"/>
            <w:shd w:val="clear" w:color="auto" w:fill="2E5090"/>
            <w:vAlign w:val="center"/>
          </w:tcPr>
          <w:p>
            <w:pPr>
              <w:spacing w:before="120" w:after="120"/>
              <w:jc w:val="center"/>
            </w:pPr>
            <w:r>
              <w:rPr>
                <w:b/>
                <w:color w:val="FFFFFF"/>
                <w:sz w:val="36"/>
              </w:rPr>
              <w:t>1.91</w:t>
            </w:r>
          </w:p>
          <w:p>
            <w:pPr>
              <w:spacing w:before="120" w:after="120"/>
              <w:jc w:val="center"/>
            </w:pPr>
            <w:r>
              <w:rPr>
                <w:color w:val="FFFFFF"/>
                <w:sz w:val="18"/>
              </w:rPr>
              <w:t>Avg GPA</w:t>
            </w:r>
          </w:p>
        </w:tc>
        <w:tc>
          <w:tcPr>
            <w:tcW w:type="dxa" w:w="1814"/>
            <w:shd w:val="clear" w:color="auto" w:fill="C00000"/>
            <w:vAlign w:val="center"/>
          </w:tcPr>
          <w:p>
            <w:pPr>
              <w:spacing w:before="120" w:after="120"/>
              <w:jc w:val="center"/>
            </w:pPr>
            <w:r>
              <w:rPr>
                <w:b/>
                <w:color w:val="FFFFFF"/>
                <w:sz w:val="36"/>
              </w:rPr>
              <w:t>50.6%</w:t>
            </w:r>
          </w:p>
          <w:p>
            <w:pPr>
              <w:spacing w:before="120" w:after="120"/>
              <w:jc w:val="center"/>
            </w:pPr>
            <w:r>
              <w:rPr>
                <w:color w:val="FFFFFF"/>
                <w:sz w:val="18"/>
              </w:rPr>
              <w:t>Fail Rate</w:t>
            </w:r>
          </w:p>
        </w:tc>
        <w:tc>
          <w:tcPr>
            <w:tcW w:type="dxa" w:w="1814"/>
            <w:shd w:val="clear" w:color="auto" w:fill="ED7D31"/>
            <w:vAlign w:val="center"/>
          </w:tcPr>
          <w:p>
            <w:pPr>
              <w:spacing w:before="120" w:after="120"/>
              <w:jc w:val="center"/>
            </w:pPr>
            <w:r>
              <w:rPr>
                <w:b/>
                <w:color w:val="FFFFFF"/>
                <w:sz w:val="36"/>
              </w:rPr>
              <w:t>1,169</w:t>
            </w:r>
          </w:p>
          <w:p>
            <w:pPr>
              <w:spacing w:before="120" w:after="120"/>
              <w:jc w:val="center"/>
            </w:pPr>
            <w:r>
              <w:rPr>
                <w:color w:val="FFFFFF"/>
                <w:sz w:val="18"/>
              </w:rPr>
              <w:t>At-Risk Students</w:t>
            </w:r>
          </w:p>
        </w:tc>
        <w:tc>
          <w:tcPr>
            <w:tcW w:type="dxa" w:w="1814"/>
            <w:shd w:val="clear" w:color="auto" w:fill="378610"/>
            <w:vAlign w:val="center"/>
          </w:tcPr>
          <w:p>
            <w:pPr>
              <w:spacing w:before="120" w:after="120"/>
              <w:jc w:val="center"/>
            </w:pPr>
            <w:r>
              <w:rPr>
                <w:b/>
                <w:color w:val="FFFFFF"/>
                <w:sz w:val="36"/>
              </w:rPr>
              <w:t>323</w:t>
            </w:r>
          </w:p>
          <w:p>
            <w:pPr>
              <w:spacing w:before="120" w:after="120"/>
              <w:jc w:val="center"/>
            </w:pPr>
            <w:r>
              <w:rPr>
                <w:color w:val="FFFFFF"/>
                <w:sz w:val="18"/>
              </w:rPr>
              <w:t>Low-Risk Students</w:t>
            </w:r>
          </w:p>
        </w:tc>
      </w:tr>
    </w:tbl>
    <w:p/>
    <w:p>
      <w:r>
        <w:br w:type="page"/>
      </w:r>
    </w:p>
    <w:p>
      <w:pPr>
        <w:spacing w:before="80" w:after="160"/>
        <w:jc w:val="left"/>
        <w:pBdr>
          <w:bottom w:val="single" w:sz="6" w:space="1" w:color="2E5090"/>
        </w:pBdr>
      </w:pPr>
      <w:r>
        <w:rPr>
          <w:b/>
          <w:color w:val="1B2A4A"/>
          <w:sz w:val="40"/>
        </w:rPr>
        <w:t>2. Project Overview &amp; Objectives</w:t>
      </w:r>
    </w:p>
    <w:p>
      <w:pPr>
        <w:spacing w:after="120" w:before="40"/>
      </w:pPr>
      <w:r>
        <w:rPr>
          <w:b w:val="0"/>
          <w:i w:val="0"/>
          <w:color w:val="404040"/>
          <w:sz w:val="21"/>
        </w:rPr>
        <w:t>Universities worldwide face a growing student retention crisis. Students who fail courses incur significant personal, financial, and institutional costs. Traditional reactive approaches — only intervening after failure occurs — are demonstrably ineffective. This project builds a proactive early warning system that identifies at-risk students before failure occurs, enabling timely, targeted interventions.</w:t>
      </w:r>
    </w:p>
    <w:p>
      <w:pPr>
        <w:spacing w:before="360" w:after="160"/>
      </w:pPr>
      <w:r>
        <w:rPr>
          <w:b/>
          <w:color w:val="1B2A4A"/>
          <w:sz w:val="30"/>
        </w:rPr>
        <w:t>Primary Objectives</w:t>
      </w:r>
    </w:p>
    <w:p>
      <w:pPr>
        <w:pStyle w:val="ListBullet"/>
        <w:spacing w:after="80" w:before="40"/>
      </w:pPr>
      <w:r>
        <w:rPr>
          <w:color w:val="404040"/>
          <w:sz w:val="21"/>
        </w:rPr>
        <w:t>Analyse academic performance patterns across 2,392 university students.</w:t>
      </w:r>
    </w:p>
    <w:p>
      <w:pPr>
        <w:pStyle w:val="ListBullet"/>
        <w:spacing w:after="80" w:before="40"/>
      </w:pPr>
      <w:r>
        <w:rPr>
          <w:color w:val="404040"/>
          <w:sz w:val="21"/>
        </w:rPr>
        <w:t>Identify the key risk factors most strongly correlated with academic failure.</w:t>
      </w:r>
    </w:p>
    <w:p>
      <w:pPr>
        <w:pStyle w:val="ListBullet"/>
        <w:spacing w:after="80" w:before="40"/>
      </w:pPr>
      <w:r>
        <w:rPr>
          <w:color w:val="404040"/>
          <w:sz w:val="21"/>
        </w:rPr>
        <w:t>Develop a composite risk scoring model to categorise every student.</w:t>
      </w:r>
    </w:p>
    <w:p>
      <w:pPr>
        <w:pStyle w:val="ListBullet"/>
        <w:spacing w:after="80" w:before="40"/>
      </w:pPr>
      <w:r>
        <w:rPr>
          <w:color w:val="404040"/>
          <w:sz w:val="21"/>
        </w:rPr>
        <w:t>Build an interactive dashboard to visualise risk, trends, and interventions.</w:t>
      </w:r>
    </w:p>
    <w:p>
      <w:pPr>
        <w:pStyle w:val="ListBullet"/>
        <w:spacing w:after="80" w:before="40"/>
      </w:pPr>
      <w:r>
        <w:rPr>
          <w:color w:val="404040"/>
          <w:sz w:val="21"/>
        </w:rPr>
        <w:t>Model intervention scenarios and project their impact on the failure rate.</w:t>
      </w:r>
    </w:p>
    <w:p>
      <w:pPr>
        <w:pStyle w:val="ListBullet"/>
        <w:spacing w:after="80" w:before="40"/>
      </w:pPr>
      <w:r>
        <w:rPr>
          <w:color w:val="404040"/>
          <w:sz w:val="21"/>
        </w:rPr>
        <w:t>Ensure ethical use of data with fairness auditing and privacy safeguards.</w:t>
      </w:r>
    </w:p>
    <w:p>
      <w:pPr>
        <w:pStyle w:val="ListBullet"/>
        <w:spacing w:after="80" w:before="40"/>
      </w:pPr>
      <w:r>
        <w:rPr>
          <w:color w:val="404040"/>
          <w:sz w:val="21"/>
        </w:rPr>
        <w:t>Achieve a minimum 20% reduction in the institutional failure rate.</w:t>
      </w:r>
    </w:p>
    <w:p>
      <w:pPr>
        <w:spacing w:before="360" w:after="160"/>
      </w:pPr>
      <w:r>
        <w:rPr>
          <w:b/>
          <w:color w:val="1B2A4A"/>
          <w:sz w:val="30"/>
        </w:rPr>
        <w:t>Deliverables</w:t>
      </w:r>
    </w:p>
    <w:p>
      <w:pPr>
        <w:pStyle w:val="ListBullet"/>
        <w:spacing w:after="80" w:before="40"/>
      </w:pPr>
      <w:r>
        <w:rPr>
          <w:color w:val="404040"/>
          <w:sz w:val="21"/>
        </w:rPr>
        <w:t>Plotly Dash web application (5 interactive tabs) — deployable on Vercel.</w:t>
      </w:r>
    </w:p>
    <w:p>
      <w:pPr>
        <w:pStyle w:val="ListBullet"/>
        <w:spacing w:after="80" w:before="40"/>
      </w:pPr>
      <w:r>
        <w:rPr>
          <w:color w:val="404040"/>
          <w:sz w:val="21"/>
        </w:rPr>
        <w:t>Excel dashboard with 5 sheets, 14+ charts, and 100+ live Excel formulas.</w:t>
      </w:r>
    </w:p>
    <w:p>
      <w:pPr>
        <w:pStyle w:val="ListBullet"/>
        <w:spacing w:after="80" w:before="40"/>
      </w:pPr>
      <w:r>
        <w:rPr>
          <w:color w:val="404040"/>
          <w:sz w:val="21"/>
        </w:rPr>
        <w:t>This project report (docx) documenting methodology, findings, and recommendations.</w:t>
      </w:r>
    </w:p>
    <w:p>
      <w:pPr>
        <w:pStyle w:val="ListBullet"/>
        <w:spacing w:after="80" w:before="40"/>
      </w:pPr>
      <w:r>
        <w:rPr>
          <w:color w:val="404040"/>
          <w:sz w:val="21"/>
        </w:rPr>
        <w:t>GitHub repository: https://github.com/prachisingh342006/data_analytics_project</w:t>
      </w:r>
    </w:p>
    <w:p>
      <w:pPr>
        <w:spacing w:before="360" w:after="160"/>
        <w:jc w:val="left"/>
        <w:pBdr>
          <w:bottom w:val="single" w:sz="6" w:space="1" w:color="2E5090"/>
        </w:pBdr>
      </w:pPr>
      <w:r>
        <w:rPr>
          <w:b/>
          <w:color w:val="1B2A4A"/>
          <w:sz w:val="40"/>
        </w:rPr>
        <w:t>3. Dataset Description &amp; Exploratory Analysis</w:t>
      </w:r>
    </w:p>
    <w:p>
      <w:pPr>
        <w:spacing w:after="120" w:before="40"/>
      </w:pPr>
      <w:r>
        <w:rPr>
          <w:b w:val="0"/>
          <w:i w:val="0"/>
          <w:color w:val="404040"/>
          <w:sz w:val="21"/>
        </w:rPr>
        <w:t>The dataset contains academic and socio-demographic records for 2,392 university students. All data is anonymised and referenced by Student ID only. The 15 variables span demographic, behavioural, and academic dimensions.</w:t>
      </w:r>
    </w:p>
    <w:p>
      <w:pPr>
        <w:spacing w:before="360" w:after="160"/>
      </w:pPr>
      <w:r>
        <w:rPr>
          <w:b/>
          <w:color w:val="1B2A4A"/>
          <w:sz w:val="30"/>
        </w:rPr>
        <w:t>3.1 Variable Dictionary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20"/>
              </w:rPr>
              <w:t>Variable</w:t>
            </w:r>
          </w:p>
        </w:tc>
        <w:tc>
          <w:tcPr>
            <w:tcW w:type="dxa" w:w="2268"/>
            <w:shd w:val="clear" w:color="auto" w:fill="1B2A4A"/>
          </w:tcPr>
          <w:p>
            <w:pPr>
              <w:jc w:val="center"/>
            </w:pPr>
            <w:r>
              <w:rPr>
                <w:b/>
                <w:color w:val="FFFFFF"/>
                <w:sz w:val="20"/>
              </w:rPr>
              <w:t>Type</w:t>
            </w:r>
          </w:p>
        </w:tc>
        <w:tc>
          <w:tcPr>
            <w:tcW w:type="dxa" w:w="2268"/>
            <w:shd w:val="clear" w:color="auto" w:fill="1B2A4A"/>
          </w:tcPr>
          <w:p>
            <w:pPr>
              <w:jc w:val="center"/>
            </w:pPr>
            <w:r>
              <w:rPr>
                <w:b/>
                <w:color w:val="FFFFFF"/>
                <w:sz w:val="20"/>
              </w:rPr>
              <w:t>Range / Values</w:t>
            </w:r>
          </w:p>
        </w:tc>
        <w:tc>
          <w:tcPr>
            <w:tcW w:type="dxa" w:w="2268"/>
            <w:shd w:val="clear" w:color="auto" w:fill="1B2A4A"/>
          </w:tcPr>
          <w:p>
            <w:pPr>
              <w:jc w:val="center"/>
            </w:pPr>
            <w:r>
              <w:rPr>
                <w:b/>
                <w:color w:val="FFFFFF"/>
                <w:sz w:val="20"/>
              </w:rPr>
              <w:t>Description</w:t>
            </w:r>
          </w:p>
        </w:tc>
      </w:tr>
      <w:tr>
        <w:tc>
          <w:tcPr>
            <w:tcW w:type="dxa" w:w="2268"/>
            <w:shd w:val="clear" w:color="auto" w:fill="FFFFFF"/>
          </w:tcPr>
          <w:p>
            <w:pPr>
              <w:jc w:val="center"/>
            </w:pPr>
            <w:r>
              <w:rPr>
                <w:sz w:val="20"/>
              </w:rPr>
              <w:t>StudentID</w:t>
            </w:r>
          </w:p>
        </w:tc>
        <w:tc>
          <w:tcPr>
            <w:tcW w:type="dxa" w:w="2268"/>
            <w:shd w:val="clear" w:color="auto" w:fill="FFFFFF"/>
          </w:tcPr>
          <w:p>
            <w:pPr>
              <w:jc w:val="center"/>
            </w:pPr>
            <w:r>
              <w:rPr>
                <w:sz w:val="20"/>
              </w:rPr>
              <w:t>Integer</w:t>
            </w:r>
          </w:p>
        </w:tc>
        <w:tc>
          <w:tcPr>
            <w:tcW w:type="dxa" w:w="2268"/>
            <w:shd w:val="clear" w:color="auto" w:fill="FFFFFF"/>
          </w:tcPr>
          <w:p>
            <w:pPr>
              <w:jc w:val="center"/>
            </w:pPr>
            <w:r>
              <w:rPr>
                <w:sz w:val="20"/>
              </w:rPr>
              <w:t>Unique</w:t>
            </w:r>
          </w:p>
        </w:tc>
        <w:tc>
          <w:tcPr>
            <w:tcW w:type="dxa" w:w="2268"/>
            <w:shd w:val="clear" w:color="auto" w:fill="FFFFFF"/>
          </w:tcPr>
          <w:p>
            <w:pPr>
              <w:jc w:val="center"/>
            </w:pPr>
            <w:r>
              <w:rPr>
                <w:sz w:val="20"/>
              </w:rPr>
              <w:t>Anonymous student identifier</w:t>
            </w:r>
          </w:p>
        </w:tc>
      </w:tr>
      <w:tr>
        <w:tc>
          <w:tcPr>
            <w:tcW w:type="dxa" w:w="2268"/>
            <w:shd w:val="clear" w:color="auto" w:fill="EBF2FA"/>
          </w:tcPr>
          <w:p>
            <w:pPr>
              <w:jc w:val="center"/>
            </w:pPr>
            <w:r>
              <w:rPr>
                <w:sz w:val="20"/>
              </w:rPr>
              <w:t>Age</w:t>
            </w:r>
          </w:p>
        </w:tc>
        <w:tc>
          <w:tcPr>
            <w:tcW w:type="dxa" w:w="2268"/>
            <w:shd w:val="clear" w:color="auto" w:fill="EBF2FA"/>
          </w:tcPr>
          <w:p>
            <w:pPr>
              <w:jc w:val="center"/>
            </w:pPr>
            <w:r>
              <w:rPr>
                <w:sz w:val="20"/>
              </w:rPr>
              <w:t>Integer</w:t>
            </w:r>
          </w:p>
        </w:tc>
        <w:tc>
          <w:tcPr>
            <w:tcW w:type="dxa" w:w="2268"/>
            <w:shd w:val="clear" w:color="auto" w:fill="EBF2FA"/>
          </w:tcPr>
          <w:p>
            <w:pPr>
              <w:jc w:val="center"/>
            </w:pPr>
            <w:r>
              <w:rPr>
                <w:sz w:val="20"/>
              </w:rPr>
              <w:t>15 – 18</w:t>
            </w:r>
          </w:p>
        </w:tc>
        <w:tc>
          <w:tcPr>
            <w:tcW w:type="dxa" w:w="2268"/>
            <w:shd w:val="clear" w:color="auto" w:fill="EBF2FA"/>
          </w:tcPr>
          <w:p>
            <w:pPr>
              <w:jc w:val="center"/>
            </w:pPr>
            <w:r>
              <w:rPr>
                <w:sz w:val="20"/>
              </w:rPr>
              <w:t>Student age in years</w:t>
            </w:r>
          </w:p>
        </w:tc>
      </w:tr>
      <w:tr>
        <w:tc>
          <w:tcPr>
            <w:tcW w:type="dxa" w:w="2268"/>
            <w:shd w:val="clear" w:color="auto" w:fill="FFFFFF"/>
          </w:tcPr>
          <w:p>
            <w:pPr>
              <w:jc w:val="center"/>
            </w:pPr>
            <w:r>
              <w:rPr>
                <w:sz w:val="20"/>
              </w:rPr>
              <w:t>Gender</w:t>
            </w:r>
          </w:p>
        </w:tc>
        <w:tc>
          <w:tcPr>
            <w:tcW w:type="dxa" w:w="2268"/>
            <w:shd w:val="clear" w:color="auto" w:fill="FFFFFF"/>
          </w:tcPr>
          <w:p>
            <w:pPr>
              <w:jc w:val="center"/>
            </w:pPr>
            <w:r>
              <w:rPr>
                <w:sz w:val="20"/>
              </w:rPr>
              <w:t>Binary</w:t>
            </w:r>
          </w:p>
        </w:tc>
        <w:tc>
          <w:tcPr>
            <w:tcW w:type="dxa" w:w="2268"/>
            <w:shd w:val="clear" w:color="auto" w:fill="FFFFFF"/>
          </w:tcPr>
          <w:p>
            <w:pPr>
              <w:jc w:val="center"/>
            </w:pPr>
            <w:r>
              <w:rPr>
                <w:sz w:val="20"/>
              </w:rPr>
              <w:t>0 = Female, 1 = Male</w:t>
            </w:r>
          </w:p>
        </w:tc>
        <w:tc>
          <w:tcPr>
            <w:tcW w:type="dxa" w:w="2268"/>
            <w:shd w:val="clear" w:color="auto" w:fill="FFFFFF"/>
          </w:tcPr>
          <w:p>
            <w:pPr>
              <w:jc w:val="center"/>
            </w:pPr>
            <w:r>
              <w:rPr>
                <w:sz w:val="20"/>
              </w:rPr>
              <w:t>Student gender</w:t>
            </w:r>
          </w:p>
        </w:tc>
      </w:tr>
      <w:tr>
        <w:tc>
          <w:tcPr>
            <w:tcW w:type="dxa" w:w="2268"/>
            <w:shd w:val="clear" w:color="auto" w:fill="EBF2FA"/>
          </w:tcPr>
          <w:p>
            <w:pPr>
              <w:jc w:val="center"/>
            </w:pPr>
            <w:r>
              <w:rPr>
                <w:sz w:val="20"/>
              </w:rPr>
              <w:t>Ethnicity</w:t>
            </w:r>
          </w:p>
        </w:tc>
        <w:tc>
          <w:tcPr>
            <w:tcW w:type="dxa" w:w="2268"/>
            <w:shd w:val="clear" w:color="auto" w:fill="EBF2FA"/>
          </w:tcPr>
          <w:p>
            <w:pPr>
              <w:jc w:val="center"/>
            </w:pPr>
            <w:r>
              <w:rPr>
                <w:sz w:val="20"/>
              </w:rPr>
              <w:t>Categorical</w:t>
            </w:r>
          </w:p>
        </w:tc>
        <w:tc>
          <w:tcPr>
            <w:tcW w:type="dxa" w:w="2268"/>
            <w:shd w:val="clear" w:color="auto" w:fill="EBF2FA"/>
          </w:tcPr>
          <w:p>
            <w:pPr>
              <w:jc w:val="center"/>
            </w:pPr>
            <w:r>
              <w:rPr>
                <w:sz w:val="20"/>
              </w:rPr>
              <w:t>0 – 3</w:t>
            </w:r>
          </w:p>
        </w:tc>
        <w:tc>
          <w:tcPr>
            <w:tcW w:type="dxa" w:w="2268"/>
            <w:shd w:val="clear" w:color="auto" w:fill="EBF2FA"/>
          </w:tcPr>
          <w:p>
            <w:pPr>
              <w:jc w:val="center"/>
            </w:pPr>
            <w:r>
              <w:rPr>
                <w:sz w:val="20"/>
              </w:rPr>
              <w:t>Ethnicity group (anonymised)</w:t>
            </w:r>
          </w:p>
        </w:tc>
      </w:tr>
      <w:tr>
        <w:tc>
          <w:tcPr>
            <w:tcW w:type="dxa" w:w="2268"/>
            <w:shd w:val="clear" w:color="auto" w:fill="FFFFFF"/>
          </w:tcPr>
          <w:p>
            <w:pPr>
              <w:jc w:val="center"/>
            </w:pPr>
            <w:r>
              <w:rPr>
                <w:sz w:val="20"/>
              </w:rPr>
              <w:t>ParentalEducation</w:t>
            </w:r>
          </w:p>
        </w:tc>
        <w:tc>
          <w:tcPr>
            <w:tcW w:type="dxa" w:w="2268"/>
            <w:shd w:val="clear" w:color="auto" w:fill="FFFFFF"/>
          </w:tcPr>
          <w:p>
            <w:pPr>
              <w:jc w:val="center"/>
            </w:pPr>
            <w:r>
              <w:rPr>
                <w:sz w:val="20"/>
              </w:rPr>
              <w:t>Ordinal</w:t>
            </w:r>
          </w:p>
        </w:tc>
        <w:tc>
          <w:tcPr>
            <w:tcW w:type="dxa" w:w="2268"/>
            <w:shd w:val="clear" w:color="auto" w:fill="FFFFFF"/>
          </w:tcPr>
          <w:p>
            <w:pPr>
              <w:jc w:val="center"/>
            </w:pPr>
            <w:r>
              <w:rPr>
                <w:sz w:val="20"/>
              </w:rPr>
              <w:t>0 = None → 4 = Higher</w:t>
            </w:r>
          </w:p>
        </w:tc>
        <w:tc>
          <w:tcPr>
            <w:tcW w:type="dxa" w:w="2268"/>
            <w:shd w:val="clear" w:color="auto" w:fill="FFFFFF"/>
          </w:tcPr>
          <w:p>
            <w:pPr>
              <w:jc w:val="center"/>
            </w:pPr>
            <w:r>
              <w:rPr>
                <w:sz w:val="20"/>
              </w:rPr>
              <w:t>Highest parental education level</w:t>
            </w:r>
          </w:p>
        </w:tc>
      </w:tr>
      <w:tr>
        <w:tc>
          <w:tcPr>
            <w:tcW w:type="dxa" w:w="2268"/>
            <w:shd w:val="clear" w:color="auto" w:fill="EBF2FA"/>
          </w:tcPr>
          <w:p>
            <w:pPr>
              <w:jc w:val="center"/>
            </w:pPr>
            <w:r>
              <w:rPr>
                <w:sz w:val="20"/>
              </w:rPr>
              <w:t>StudyTimeWeekly</w:t>
            </w:r>
          </w:p>
        </w:tc>
        <w:tc>
          <w:tcPr>
            <w:tcW w:type="dxa" w:w="2268"/>
            <w:shd w:val="clear" w:color="auto" w:fill="EBF2FA"/>
          </w:tcPr>
          <w:p>
            <w:pPr>
              <w:jc w:val="center"/>
            </w:pPr>
            <w:r>
              <w:rPr>
                <w:sz w:val="20"/>
              </w:rPr>
              <w:t>Continuous</w:t>
            </w:r>
          </w:p>
        </w:tc>
        <w:tc>
          <w:tcPr>
            <w:tcW w:type="dxa" w:w="2268"/>
            <w:shd w:val="clear" w:color="auto" w:fill="EBF2FA"/>
          </w:tcPr>
          <w:p>
            <w:pPr>
              <w:jc w:val="center"/>
            </w:pPr>
            <w:r>
              <w:rPr>
                <w:sz w:val="20"/>
              </w:rPr>
              <w:t>0 – 20 hrs</w:t>
            </w:r>
          </w:p>
        </w:tc>
        <w:tc>
          <w:tcPr>
            <w:tcW w:type="dxa" w:w="2268"/>
            <w:shd w:val="clear" w:color="auto" w:fill="EBF2FA"/>
          </w:tcPr>
          <w:p>
            <w:pPr>
              <w:jc w:val="center"/>
            </w:pPr>
            <w:r>
              <w:rPr>
                <w:sz w:val="20"/>
              </w:rPr>
              <w:t>Average weekly study hours</w:t>
            </w:r>
          </w:p>
        </w:tc>
      </w:tr>
      <w:tr>
        <w:tc>
          <w:tcPr>
            <w:tcW w:type="dxa" w:w="2268"/>
            <w:shd w:val="clear" w:color="auto" w:fill="FFFFFF"/>
          </w:tcPr>
          <w:p>
            <w:pPr>
              <w:jc w:val="center"/>
            </w:pPr>
            <w:r>
              <w:rPr>
                <w:sz w:val="20"/>
              </w:rPr>
              <w:t>Absences</w:t>
            </w:r>
          </w:p>
        </w:tc>
        <w:tc>
          <w:tcPr>
            <w:tcW w:type="dxa" w:w="2268"/>
            <w:shd w:val="clear" w:color="auto" w:fill="FFFFFF"/>
          </w:tcPr>
          <w:p>
            <w:pPr>
              <w:jc w:val="center"/>
            </w:pPr>
            <w:r>
              <w:rPr>
                <w:sz w:val="20"/>
              </w:rPr>
              <w:t>Integer</w:t>
            </w:r>
          </w:p>
        </w:tc>
        <w:tc>
          <w:tcPr>
            <w:tcW w:type="dxa" w:w="2268"/>
            <w:shd w:val="clear" w:color="auto" w:fill="FFFFFF"/>
          </w:tcPr>
          <w:p>
            <w:pPr>
              <w:jc w:val="center"/>
            </w:pPr>
            <w:r>
              <w:rPr>
                <w:sz w:val="20"/>
              </w:rPr>
              <w:t>0 – 30</w:t>
            </w:r>
          </w:p>
        </w:tc>
        <w:tc>
          <w:tcPr>
            <w:tcW w:type="dxa" w:w="2268"/>
            <w:shd w:val="clear" w:color="auto" w:fill="FFFFFF"/>
          </w:tcPr>
          <w:p>
            <w:pPr>
              <w:jc w:val="center"/>
            </w:pPr>
            <w:r>
              <w:rPr>
                <w:sz w:val="20"/>
              </w:rPr>
              <w:t>Total recorded absences</w:t>
            </w:r>
          </w:p>
        </w:tc>
      </w:tr>
      <w:tr>
        <w:tc>
          <w:tcPr>
            <w:tcW w:type="dxa" w:w="2268"/>
            <w:shd w:val="clear" w:color="auto" w:fill="EBF2FA"/>
          </w:tcPr>
          <w:p>
            <w:pPr>
              <w:jc w:val="center"/>
            </w:pPr>
            <w:r>
              <w:rPr>
                <w:sz w:val="20"/>
              </w:rPr>
              <w:t>Tutoring</w:t>
            </w:r>
          </w:p>
        </w:tc>
        <w:tc>
          <w:tcPr>
            <w:tcW w:type="dxa" w:w="2268"/>
            <w:shd w:val="clear" w:color="auto" w:fill="EBF2FA"/>
          </w:tcPr>
          <w:p>
            <w:pPr>
              <w:jc w:val="center"/>
            </w:pPr>
            <w:r>
              <w:rPr>
                <w:sz w:val="20"/>
              </w:rPr>
              <w:t>Binary</w:t>
            </w:r>
          </w:p>
        </w:tc>
        <w:tc>
          <w:tcPr>
            <w:tcW w:type="dxa" w:w="2268"/>
            <w:shd w:val="clear" w:color="auto" w:fill="EBF2FA"/>
          </w:tcPr>
          <w:p>
            <w:pPr>
              <w:jc w:val="center"/>
            </w:pPr>
            <w:r>
              <w:rPr>
                <w:sz w:val="20"/>
              </w:rPr>
              <w:t>0 = No, 1 = Yes</w:t>
            </w:r>
          </w:p>
        </w:tc>
        <w:tc>
          <w:tcPr>
            <w:tcW w:type="dxa" w:w="2268"/>
            <w:shd w:val="clear" w:color="auto" w:fill="EBF2FA"/>
          </w:tcPr>
          <w:p>
            <w:pPr>
              <w:jc w:val="center"/>
            </w:pPr>
            <w:r>
              <w:rPr>
                <w:sz w:val="20"/>
              </w:rPr>
              <w:t>Enrolled in tutoring programme</w:t>
            </w:r>
          </w:p>
        </w:tc>
      </w:tr>
      <w:tr>
        <w:tc>
          <w:tcPr>
            <w:tcW w:type="dxa" w:w="2268"/>
            <w:shd w:val="clear" w:color="auto" w:fill="FFFFFF"/>
          </w:tcPr>
          <w:p>
            <w:pPr>
              <w:jc w:val="center"/>
            </w:pPr>
            <w:r>
              <w:rPr>
                <w:sz w:val="20"/>
              </w:rPr>
              <w:t>ParentalSupport</w:t>
            </w:r>
          </w:p>
        </w:tc>
        <w:tc>
          <w:tcPr>
            <w:tcW w:type="dxa" w:w="2268"/>
            <w:shd w:val="clear" w:color="auto" w:fill="FFFFFF"/>
          </w:tcPr>
          <w:p>
            <w:pPr>
              <w:jc w:val="center"/>
            </w:pPr>
            <w:r>
              <w:rPr>
                <w:sz w:val="20"/>
              </w:rPr>
              <w:t>Ordinal</w:t>
            </w:r>
          </w:p>
        </w:tc>
        <w:tc>
          <w:tcPr>
            <w:tcW w:type="dxa" w:w="2268"/>
            <w:shd w:val="clear" w:color="auto" w:fill="FFFFFF"/>
          </w:tcPr>
          <w:p>
            <w:pPr>
              <w:jc w:val="center"/>
            </w:pPr>
            <w:r>
              <w:rPr>
                <w:sz w:val="20"/>
              </w:rPr>
              <w:t>0 = None → 4 = V. High</w:t>
            </w:r>
          </w:p>
        </w:tc>
        <w:tc>
          <w:tcPr>
            <w:tcW w:type="dxa" w:w="2268"/>
            <w:shd w:val="clear" w:color="auto" w:fill="FFFFFF"/>
          </w:tcPr>
          <w:p>
            <w:pPr>
              <w:jc w:val="center"/>
            </w:pPr>
            <w:r>
              <w:rPr>
                <w:sz w:val="20"/>
              </w:rPr>
              <w:t>Level of parental support</w:t>
            </w:r>
          </w:p>
        </w:tc>
      </w:tr>
      <w:tr>
        <w:tc>
          <w:tcPr>
            <w:tcW w:type="dxa" w:w="2268"/>
            <w:shd w:val="clear" w:color="auto" w:fill="EBF2FA"/>
          </w:tcPr>
          <w:p>
            <w:pPr>
              <w:jc w:val="center"/>
            </w:pPr>
            <w:r>
              <w:rPr>
                <w:sz w:val="20"/>
              </w:rPr>
              <w:t>Extracurricular</w:t>
            </w:r>
          </w:p>
        </w:tc>
        <w:tc>
          <w:tcPr>
            <w:tcW w:type="dxa" w:w="2268"/>
            <w:shd w:val="clear" w:color="auto" w:fill="EBF2FA"/>
          </w:tcPr>
          <w:p>
            <w:pPr>
              <w:jc w:val="center"/>
            </w:pPr>
            <w:r>
              <w:rPr>
                <w:sz w:val="20"/>
              </w:rPr>
              <w:t>Binary</w:t>
            </w:r>
          </w:p>
        </w:tc>
        <w:tc>
          <w:tcPr>
            <w:tcW w:type="dxa" w:w="2268"/>
            <w:shd w:val="clear" w:color="auto" w:fill="EBF2FA"/>
          </w:tcPr>
          <w:p>
            <w:pPr>
              <w:jc w:val="center"/>
            </w:pPr>
            <w:r>
              <w:rPr>
                <w:sz w:val="20"/>
              </w:rPr>
              <w:t>0 = No, 1 = Yes</w:t>
            </w:r>
          </w:p>
        </w:tc>
        <w:tc>
          <w:tcPr>
            <w:tcW w:type="dxa" w:w="2268"/>
            <w:shd w:val="clear" w:color="auto" w:fill="EBF2FA"/>
          </w:tcPr>
          <w:p>
            <w:pPr>
              <w:jc w:val="center"/>
            </w:pPr>
            <w:r>
              <w:rPr>
                <w:sz w:val="20"/>
              </w:rPr>
              <w:t>Participates in extracurriculars</w:t>
            </w:r>
          </w:p>
        </w:tc>
      </w:tr>
      <w:tr>
        <w:tc>
          <w:tcPr>
            <w:tcW w:type="dxa" w:w="2268"/>
            <w:shd w:val="clear" w:color="auto" w:fill="FFFFFF"/>
          </w:tcPr>
          <w:p>
            <w:pPr>
              <w:jc w:val="center"/>
            </w:pPr>
            <w:r>
              <w:rPr>
                <w:sz w:val="20"/>
              </w:rPr>
              <w:t>Sports</w:t>
            </w:r>
          </w:p>
        </w:tc>
        <w:tc>
          <w:tcPr>
            <w:tcW w:type="dxa" w:w="2268"/>
            <w:shd w:val="clear" w:color="auto" w:fill="FFFFFF"/>
          </w:tcPr>
          <w:p>
            <w:pPr>
              <w:jc w:val="center"/>
            </w:pPr>
            <w:r>
              <w:rPr>
                <w:sz w:val="20"/>
              </w:rPr>
              <w:t>Binary</w:t>
            </w:r>
          </w:p>
        </w:tc>
        <w:tc>
          <w:tcPr>
            <w:tcW w:type="dxa" w:w="2268"/>
            <w:shd w:val="clear" w:color="auto" w:fill="FFFFFF"/>
          </w:tcPr>
          <w:p>
            <w:pPr>
              <w:jc w:val="center"/>
            </w:pPr>
            <w:r>
              <w:rPr>
                <w:sz w:val="20"/>
              </w:rPr>
              <w:t>0 = No, 1 = Yes</w:t>
            </w:r>
          </w:p>
        </w:tc>
        <w:tc>
          <w:tcPr>
            <w:tcW w:type="dxa" w:w="2268"/>
            <w:shd w:val="clear" w:color="auto" w:fill="FFFFFF"/>
          </w:tcPr>
          <w:p>
            <w:pPr>
              <w:jc w:val="center"/>
            </w:pPr>
            <w:r>
              <w:rPr>
                <w:sz w:val="20"/>
              </w:rPr>
              <w:t>Participates in sports</w:t>
            </w:r>
          </w:p>
        </w:tc>
      </w:tr>
      <w:tr>
        <w:tc>
          <w:tcPr>
            <w:tcW w:type="dxa" w:w="2268"/>
            <w:shd w:val="clear" w:color="auto" w:fill="EBF2FA"/>
          </w:tcPr>
          <w:p>
            <w:pPr>
              <w:jc w:val="center"/>
            </w:pPr>
            <w:r>
              <w:rPr>
                <w:sz w:val="20"/>
              </w:rPr>
              <w:t>Music</w:t>
            </w:r>
          </w:p>
        </w:tc>
        <w:tc>
          <w:tcPr>
            <w:tcW w:type="dxa" w:w="2268"/>
            <w:shd w:val="clear" w:color="auto" w:fill="EBF2FA"/>
          </w:tcPr>
          <w:p>
            <w:pPr>
              <w:jc w:val="center"/>
            </w:pPr>
            <w:r>
              <w:rPr>
                <w:sz w:val="20"/>
              </w:rPr>
              <w:t>Binary</w:t>
            </w:r>
          </w:p>
        </w:tc>
        <w:tc>
          <w:tcPr>
            <w:tcW w:type="dxa" w:w="2268"/>
            <w:shd w:val="clear" w:color="auto" w:fill="EBF2FA"/>
          </w:tcPr>
          <w:p>
            <w:pPr>
              <w:jc w:val="center"/>
            </w:pPr>
            <w:r>
              <w:rPr>
                <w:sz w:val="20"/>
              </w:rPr>
              <w:t>0 = No, 1 = Yes</w:t>
            </w:r>
          </w:p>
        </w:tc>
        <w:tc>
          <w:tcPr>
            <w:tcW w:type="dxa" w:w="2268"/>
            <w:shd w:val="clear" w:color="auto" w:fill="EBF2FA"/>
          </w:tcPr>
          <w:p>
            <w:pPr>
              <w:jc w:val="center"/>
            </w:pPr>
            <w:r>
              <w:rPr>
                <w:sz w:val="20"/>
              </w:rPr>
              <w:t>Participates in music</w:t>
            </w:r>
          </w:p>
        </w:tc>
      </w:tr>
      <w:tr>
        <w:tc>
          <w:tcPr>
            <w:tcW w:type="dxa" w:w="2268"/>
            <w:shd w:val="clear" w:color="auto" w:fill="FFFFFF"/>
          </w:tcPr>
          <w:p>
            <w:pPr>
              <w:jc w:val="center"/>
            </w:pPr>
            <w:r>
              <w:rPr>
                <w:sz w:val="20"/>
              </w:rPr>
              <w:t>Volunteering</w:t>
            </w:r>
          </w:p>
        </w:tc>
        <w:tc>
          <w:tcPr>
            <w:tcW w:type="dxa" w:w="2268"/>
            <w:shd w:val="clear" w:color="auto" w:fill="FFFFFF"/>
          </w:tcPr>
          <w:p>
            <w:pPr>
              <w:jc w:val="center"/>
            </w:pPr>
            <w:r>
              <w:rPr>
                <w:sz w:val="20"/>
              </w:rPr>
              <w:t>Binary</w:t>
            </w:r>
          </w:p>
        </w:tc>
        <w:tc>
          <w:tcPr>
            <w:tcW w:type="dxa" w:w="2268"/>
            <w:shd w:val="clear" w:color="auto" w:fill="FFFFFF"/>
          </w:tcPr>
          <w:p>
            <w:pPr>
              <w:jc w:val="center"/>
            </w:pPr>
            <w:r>
              <w:rPr>
                <w:sz w:val="20"/>
              </w:rPr>
              <w:t>0 = No, 1 = Yes</w:t>
            </w:r>
          </w:p>
        </w:tc>
        <w:tc>
          <w:tcPr>
            <w:tcW w:type="dxa" w:w="2268"/>
            <w:shd w:val="clear" w:color="auto" w:fill="FFFFFF"/>
          </w:tcPr>
          <w:p>
            <w:pPr>
              <w:jc w:val="center"/>
            </w:pPr>
            <w:r>
              <w:rPr>
                <w:sz w:val="20"/>
              </w:rPr>
              <w:t>Participates in volunteering</w:t>
            </w:r>
          </w:p>
        </w:tc>
      </w:tr>
      <w:tr>
        <w:tc>
          <w:tcPr>
            <w:tcW w:type="dxa" w:w="2268"/>
            <w:shd w:val="clear" w:color="auto" w:fill="EBF2FA"/>
          </w:tcPr>
          <w:p>
            <w:pPr>
              <w:jc w:val="center"/>
            </w:pPr>
            <w:r>
              <w:rPr>
                <w:sz w:val="20"/>
              </w:rPr>
              <w:t>GPA</w:t>
            </w:r>
          </w:p>
        </w:tc>
        <w:tc>
          <w:tcPr>
            <w:tcW w:type="dxa" w:w="2268"/>
            <w:shd w:val="clear" w:color="auto" w:fill="EBF2FA"/>
          </w:tcPr>
          <w:p>
            <w:pPr>
              <w:jc w:val="center"/>
            </w:pPr>
            <w:r>
              <w:rPr>
                <w:sz w:val="20"/>
              </w:rPr>
              <w:t>Continuous</w:t>
            </w:r>
          </w:p>
        </w:tc>
        <w:tc>
          <w:tcPr>
            <w:tcW w:type="dxa" w:w="2268"/>
            <w:shd w:val="clear" w:color="auto" w:fill="EBF2FA"/>
          </w:tcPr>
          <w:p>
            <w:pPr>
              <w:jc w:val="center"/>
            </w:pPr>
            <w:r>
              <w:rPr>
                <w:sz w:val="20"/>
              </w:rPr>
              <w:t>0.0 – 4.0</w:t>
            </w:r>
          </w:p>
        </w:tc>
        <w:tc>
          <w:tcPr>
            <w:tcW w:type="dxa" w:w="2268"/>
            <w:shd w:val="clear" w:color="auto" w:fill="EBF2FA"/>
          </w:tcPr>
          <w:p>
            <w:pPr>
              <w:jc w:val="center"/>
            </w:pPr>
            <w:r>
              <w:rPr>
                <w:sz w:val="20"/>
              </w:rPr>
              <w:t>Grade Point Average</w:t>
            </w:r>
          </w:p>
        </w:tc>
      </w:tr>
      <w:tr>
        <w:tc>
          <w:tcPr>
            <w:tcW w:type="dxa" w:w="2268"/>
            <w:shd w:val="clear" w:color="auto" w:fill="FFFFFF"/>
          </w:tcPr>
          <w:p>
            <w:pPr>
              <w:jc w:val="center"/>
            </w:pPr>
            <w:r>
              <w:rPr>
                <w:sz w:val="20"/>
              </w:rPr>
              <w:t>GradeClass</w:t>
            </w:r>
          </w:p>
        </w:tc>
        <w:tc>
          <w:tcPr>
            <w:tcW w:type="dxa" w:w="2268"/>
            <w:shd w:val="clear" w:color="auto" w:fill="FFFFFF"/>
          </w:tcPr>
          <w:p>
            <w:pPr>
              <w:jc w:val="center"/>
            </w:pPr>
            <w:r>
              <w:rPr>
                <w:sz w:val="20"/>
              </w:rPr>
              <w:t>Ordinal</w:t>
            </w:r>
          </w:p>
        </w:tc>
        <w:tc>
          <w:tcPr>
            <w:tcW w:type="dxa" w:w="2268"/>
            <w:shd w:val="clear" w:color="auto" w:fill="FFFFFF"/>
          </w:tcPr>
          <w:p>
            <w:pPr>
              <w:jc w:val="center"/>
            </w:pPr>
            <w:r>
              <w:rPr>
                <w:sz w:val="20"/>
              </w:rPr>
              <w:t>0=A, 1=B, 2=C, 3=D, 4=F</w:t>
            </w:r>
          </w:p>
        </w:tc>
        <w:tc>
          <w:tcPr>
            <w:tcW w:type="dxa" w:w="2268"/>
            <w:shd w:val="clear" w:color="auto" w:fill="FFFFFF"/>
          </w:tcPr>
          <w:p>
            <w:pPr>
              <w:jc w:val="center"/>
            </w:pPr>
            <w:r>
              <w:rPr>
                <w:sz w:val="20"/>
              </w:rPr>
              <w:t>Final grade class</w:t>
            </w:r>
          </w:p>
        </w:tc>
      </w:tr>
    </w:tbl>
    <w:p/>
    <w:p>
      <w:pPr>
        <w:spacing w:before="360" w:after="160"/>
      </w:pPr>
      <w:r>
        <w:rPr>
          <w:b/>
          <w:color w:val="1B2A4A"/>
          <w:sz w:val="30"/>
        </w:rPr>
        <w:t>3.2 Descriptive Statistics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20"/>
              </w:rPr>
              <w:t>Statistic</w:t>
            </w:r>
          </w:p>
        </w:tc>
        <w:tc>
          <w:tcPr>
            <w:tcW w:type="dxa" w:w="1814"/>
            <w:shd w:val="clear" w:color="auto" w:fill="1B2A4A"/>
          </w:tcPr>
          <w:p>
            <w:pPr>
              <w:jc w:val="center"/>
            </w:pPr>
            <w:r>
              <w:rPr>
                <w:b/>
                <w:color w:val="FFFFFF"/>
                <w:sz w:val="20"/>
              </w:rPr>
              <w:t>GPA</w:t>
            </w:r>
          </w:p>
        </w:tc>
        <w:tc>
          <w:tcPr>
            <w:tcW w:type="dxa" w:w="1814"/>
            <w:shd w:val="clear" w:color="auto" w:fill="1B2A4A"/>
          </w:tcPr>
          <w:p>
            <w:pPr>
              <w:jc w:val="center"/>
            </w:pPr>
            <w:r>
              <w:rPr>
                <w:b/>
                <w:color w:val="FFFFFF"/>
                <w:sz w:val="20"/>
              </w:rPr>
              <w:t>Absences</w:t>
            </w:r>
          </w:p>
        </w:tc>
        <w:tc>
          <w:tcPr>
            <w:tcW w:type="dxa" w:w="1814"/>
            <w:shd w:val="clear" w:color="auto" w:fill="1B2A4A"/>
          </w:tcPr>
          <w:p>
            <w:pPr>
              <w:jc w:val="center"/>
            </w:pPr>
            <w:r>
              <w:rPr>
                <w:b/>
                <w:color w:val="FFFFFF"/>
                <w:sz w:val="20"/>
              </w:rPr>
              <w:t>Study Hrs/Week</w:t>
            </w:r>
          </w:p>
        </w:tc>
        <w:tc>
          <w:tcPr>
            <w:tcW w:type="dxa" w:w="1814"/>
            <w:shd w:val="clear" w:color="auto" w:fill="1B2A4A"/>
          </w:tcPr>
          <w:p>
            <w:pPr>
              <w:jc w:val="center"/>
            </w:pPr>
            <w:r>
              <w:rPr>
                <w:b/>
                <w:color w:val="FFFFFF"/>
                <w:sz w:val="20"/>
              </w:rPr>
              <w:t>Age</w:t>
            </w:r>
          </w:p>
        </w:tc>
      </w:tr>
      <w:tr>
        <w:tc>
          <w:tcPr>
            <w:tcW w:type="dxa" w:w="1814"/>
            <w:shd w:val="clear" w:color="auto" w:fill="FFFFFF"/>
          </w:tcPr>
          <w:p>
            <w:pPr>
              <w:jc w:val="center"/>
            </w:pPr>
            <w:r>
              <w:rPr>
                <w:sz w:val="20"/>
              </w:rPr>
              <w:t>Mean</w:t>
            </w:r>
          </w:p>
        </w:tc>
        <w:tc>
          <w:tcPr>
            <w:tcW w:type="dxa" w:w="1814"/>
            <w:shd w:val="clear" w:color="auto" w:fill="FFFFFF"/>
          </w:tcPr>
          <w:p>
            <w:pPr>
              <w:jc w:val="center"/>
            </w:pPr>
            <w:r>
              <w:rPr>
                <w:sz w:val="20"/>
              </w:rPr>
              <w:t>1.91</w:t>
            </w:r>
          </w:p>
        </w:tc>
        <w:tc>
          <w:tcPr>
            <w:tcW w:type="dxa" w:w="1814"/>
            <w:shd w:val="clear" w:color="auto" w:fill="FFFFFF"/>
          </w:tcPr>
          <w:p>
            <w:pPr>
              <w:jc w:val="center"/>
            </w:pPr>
            <w:r>
              <w:rPr>
                <w:sz w:val="20"/>
              </w:rPr>
              <w:t>14.5</w:t>
            </w:r>
          </w:p>
        </w:tc>
        <w:tc>
          <w:tcPr>
            <w:tcW w:type="dxa" w:w="1814"/>
            <w:shd w:val="clear" w:color="auto" w:fill="FFFFFF"/>
          </w:tcPr>
          <w:p>
            <w:pPr>
              <w:jc w:val="center"/>
            </w:pPr>
            <w:r>
              <w:rPr>
                <w:sz w:val="20"/>
              </w:rPr>
              <w:t>9.8</w:t>
            </w:r>
          </w:p>
        </w:tc>
        <w:tc>
          <w:tcPr>
            <w:tcW w:type="dxa" w:w="1814"/>
            <w:shd w:val="clear" w:color="auto" w:fill="FFFFFF"/>
          </w:tcPr>
          <w:p>
            <w:pPr>
              <w:jc w:val="center"/>
            </w:pPr>
            <w:r>
              <w:rPr>
                <w:sz w:val="20"/>
              </w:rPr>
              <w:t>16.5</w:t>
            </w:r>
          </w:p>
        </w:tc>
      </w:tr>
      <w:tr>
        <w:tc>
          <w:tcPr>
            <w:tcW w:type="dxa" w:w="1814"/>
            <w:shd w:val="clear" w:color="auto" w:fill="EBF2FA"/>
          </w:tcPr>
          <w:p>
            <w:pPr>
              <w:jc w:val="center"/>
            </w:pPr>
            <w:r>
              <w:rPr>
                <w:sz w:val="20"/>
              </w:rPr>
              <w:t>Median</w:t>
            </w:r>
          </w:p>
        </w:tc>
        <w:tc>
          <w:tcPr>
            <w:tcW w:type="dxa" w:w="1814"/>
            <w:shd w:val="clear" w:color="auto" w:fill="EBF2FA"/>
          </w:tcPr>
          <w:p>
            <w:pPr>
              <w:jc w:val="center"/>
            </w:pPr>
            <w:r>
              <w:rPr>
                <w:sz w:val="20"/>
              </w:rPr>
              <w:t>1.89</w:t>
            </w:r>
          </w:p>
        </w:tc>
        <w:tc>
          <w:tcPr>
            <w:tcW w:type="dxa" w:w="1814"/>
            <w:shd w:val="clear" w:color="auto" w:fill="EBF2FA"/>
          </w:tcPr>
          <w:p>
            <w:pPr>
              <w:jc w:val="center"/>
            </w:pPr>
            <w:r>
              <w:rPr>
                <w:sz w:val="20"/>
              </w:rPr>
              <w:t>14.0</w:t>
            </w:r>
          </w:p>
        </w:tc>
        <w:tc>
          <w:tcPr>
            <w:tcW w:type="dxa" w:w="1814"/>
            <w:shd w:val="clear" w:color="auto" w:fill="EBF2FA"/>
          </w:tcPr>
          <w:p>
            <w:pPr>
              <w:jc w:val="center"/>
            </w:pPr>
            <w:r>
              <w:rPr>
                <w:sz w:val="20"/>
              </w:rPr>
              <w:t>9.8</w:t>
            </w:r>
          </w:p>
        </w:tc>
        <w:tc>
          <w:tcPr>
            <w:tcW w:type="dxa" w:w="1814"/>
            <w:shd w:val="clear" w:color="auto" w:fill="EBF2FA"/>
          </w:tcPr>
          <w:p>
            <w:pPr>
              <w:jc w:val="center"/>
            </w:pPr>
            <w:r>
              <w:rPr>
                <w:sz w:val="20"/>
              </w:rPr>
              <w:t>16.0</w:t>
            </w:r>
          </w:p>
        </w:tc>
      </w:tr>
      <w:tr>
        <w:tc>
          <w:tcPr>
            <w:tcW w:type="dxa" w:w="1814"/>
            <w:shd w:val="clear" w:color="auto" w:fill="FFFFFF"/>
          </w:tcPr>
          <w:p>
            <w:pPr>
              <w:jc w:val="center"/>
            </w:pPr>
            <w:r>
              <w:rPr>
                <w:sz w:val="20"/>
              </w:rPr>
              <w:t>Std Dev</w:t>
            </w:r>
          </w:p>
        </w:tc>
        <w:tc>
          <w:tcPr>
            <w:tcW w:type="dxa" w:w="1814"/>
            <w:shd w:val="clear" w:color="auto" w:fill="FFFFFF"/>
          </w:tcPr>
          <w:p>
            <w:pPr>
              <w:jc w:val="center"/>
            </w:pPr>
            <w:r>
              <w:rPr>
                <w:sz w:val="20"/>
              </w:rPr>
              <w:t>0.915</w:t>
            </w:r>
          </w:p>
        </w:tc>
        <w:tc>
          <w:tcPr>
            <w:tcW w:type="dxa" w:w="1814"/>
            <w:shd w:val="clear" w:color="auto" w:fill="FFFFFF"/>
          </w:tcPr>
          <w:p>
            <w:pPr>
              <w:jc w:val="center"/>
            </w:pPr>
            <w:r>
              <w:rPr>
                <w:sz w:val="20"/>
              </w:rPr>
              <w:t>8.4</w:t>
            </w:r>
          </w:p>
        </w:tc>
        <w:tc>
          <w:tcPr>
            <w:tcW w:type="dxa" w:w="1814"/>
            <w:shd w:val="clear" w:color="auto" w:fill="FFFFFF"/>
          </w:tcPr>
          <w:p>
            <w:pPr>
              <w:jc w:val="center"/>
            </w:pPr>
            <w:r>
              <w:rPr>
                <w:sz w:val="20"/>
              </w:rPr>
              <w:t>5.8</w:t>
            </w:r>
          </w:p>
        </w:tc>
        <w:tc>
          <w:tcPr>
            <w:tcW w:type="dxa" w:w="1814"/>
            <w:shd w:val="clear" w:color="auto" w:fill="FFFFFF"/>
          </w:tcPr>
          <w:p>
            <w:pPr>
              <w:jc w:val="center"/>
            </w:pPr>
            <w:r>
              <w:rPr>
                <w:sz w:val="20"/>
              </w:rPr>
              <w:t>1.1</w:t>
            </w:r>
          </w:p>
        </w:tc>
      </w:tr>
      <w:tr>
        <w:tc>
          <w:tcPr>
            <w:tcW w:type="dxa" w:w="1814"/>
            <w:shd w:val="clear" w:color="auto" w:fill="EBF2FA"/>
          </w:tcPr>
          <w:p>
            <w:pPr>
              <w:jc w:val="center"/>
            </w:pPr>
            <w:r>
              <w:rPr>
                <w:sz w:val="20"/>
              </w:rPr>
              <w:t>Min</w:t>
            </w:r>
          </w:p>
        </w:tc>
        <w:tc>
          <w:tcPr>
            <w:tcW w:type="dxa" w:w="1814"/>
            <w:shd w:val="clear" w:color="auto" w:fill="EBF2FA"/>
          </w:tcPr>
          <w:p>
            <w:pPr>
              <w:jc w:val="center"/>
            </w:pPr>
            <w:r>
              <w:rPr>
                <w:sz w:val="20"/>
              </w:rPr>
              <w:t>0.00</w:t>
            </w:r>
          </w:p>
        </w:tc>
        <w:tc>
          <w:tcPr>
            <w:tcW w:type="dxa" w:w="1814"/>
            <w:shd w:val="clear" w:color="auto" w:fill="EBF2FA"/>
          </w:tcPr>
          <w:p>
            <w:pPr>
              <w:jc w:val="center"/>
            </w:pPr>
            <w:r>
              <w:rPr>
                <w:sz w:val="20"/>
              </w:rPr>
              <w:t>0</w:t>
            </w:r>
          </w:p>
        </w:tc>
        <w:tc>
          <w:tcPr>
            <w:tcW w:type="dxa" w:w="1814"/>
            <w:shd w:val="clear" w:color="auto" w:fill="EBF2FA"/>
          </w:tcPr>
          <w:p>
            <w:pPr>
              <w:jc w:val="center"/>
            </w:pPr>
            <w:r>
              <w:rPr>
                <w:sz w:val="20"/>
              </w:rPr>
              <w:t>0</w:t>
            </w:r>
          </w:p>
        </w:tc>
        <w:tc>
          <w:tcPr>
            <w:tcW w:type="dxa" w:w="1814"/>
            <w:shd w:val="clear" w:color="auto" w:fill="EBF2FA"/>
          </w:tcPr>
          <w:p>
            <w:pPr>
              <w:jc w:val="center"/>
            </w:pPr>
            <w:r>
              <w:rPr>
                <w:sz w:val="20"/>
              </w:rPr>
              <w:t>15</w:t>
            </w:r>
          </w:p>
        </w:tc>
      </w:tr>
      <w:tr>
        <w:tc>
          <w:tcPr>
            <w:tcW w:type="dxa" w:w="1814"/>
            <w:shd w:val="clear" w:color="auto" w:fill="FFFFFF"/>
          </w:tcPr>
          <w:p>
            <w:pPr>
              <w:jc w:val="center"/>
            </w:pPr>
            <w:r>
              <w:rPr>
                <w:sz w:val="20"/>
              </w:rPr>
              <w:t>Max</w:t>
            </w:r>
          </w:p>
        </w:tc>
        <w:tc>
          <w:tcPr>
            <w:tcW w:type="dxa" w:w="1814"/>
            <w:shd w:val="clear" w:color="auto" w:fill="FFFFFF"/>
          </w:tcPr>
          <w:p>
            <w:pPr>
              <w:jc w:val="center"/>
            </w:pPr>
            <w:r>
              <w:rPr>
                <w:sz w:val="20"/>
              </w:rPr>
              <w:t>4.00</w:t>
            </w:r>
          </w:p>
        </w:tc>
        <w:tc>
          <w:tcPr>
            <w:tcW w:type="dxa" w:w="1814"/>
            <w:shd w:val="clear" w:color="auto" w:fill="FFFFFF"/>
          </w:tcPr>
          <w:p>
            <w:pPr>
              <w:jc w:val="center"/>
            </w:pPr>
            <w:r>
              <w:rPr>
                <w:sz w:val="20"/>
              </w:rPr>
              <w:t>30</w:t>
            </w:r>
          </w:p>
        </w:tc>
        <w:tc>
          <w:tcPr>
            <w:tcW w:type="dxa" w:w="1814"/>
            <w:shd w:val="clear" w:color="auto" w:fill="FFFFFF"/>
          </w:tcPr>
          <w:p>
            <w:pPr>
              <w:jc w:val="center"/>
            </w:pPr>
            <w:r>
              <w:rPr>
                <w:sz w:val="20"/>
              </w:rPr>
              <w:t>19.9</w:t>
            </w:r>
          </w:p>
        </w:tc>
        <w:tc>
          <w:tcPr>
            <w:tcW w:type="dxa" w:w="1814"/>
            <w:shd w:val="clear" w:color="auto" w:fill="FFFFFF"/>
          </w:tcPr>
          <w:p>
            <w:pPr>
              <w:jc w:val="center"/>
            </w:pPr>
            <w:r>
              <w:rPr>
                <w:sz w:val="20"/>
              </w:rPr>
              <w:t>18</w:t>
            </w:r>
          </w:p>
        </w:tc>
      </w:tr>
    </w:tbl>
    <w:p/>
    <w:p>
      <w:pPr>
        <w:spacing w:after="120" w:before="40"/>
      </w:pPr>
      <w:r>
        <w:rPr>
          <w:b w:val="0"/>
          <w:i w:val="0"/>
          <w:color w:val="404040"/>
          <w:sz w:val="21"/>
        </w:rPr>
        <w:t>Demographics: 51.1% male / 48.9% female. Ages 15–18. The cohort is broadly balanced across gender and ethnicity groups, ensuring demographic fairness in the risk model.</w:t>
      </w:r>
    </w:p>
    <w:p>
      <w:r>
        <w:br w:type="page"/>
      </w:r>
    </w:p>
    <w:p>
      <w:pPr>
        <w:spacing w:before="80" w:after="160"/>
        <w:jc w:val="left"/>
        <w:pBdr>
          <w:bottom w:val="single" w:sz="6" w:space="1" w:color="2E5090"/>
        </w:pBdr>
      </w:pPr>
      <w:r>
        <w:rPr>
          <w:b/>
          <w:color w:val="1B2A4A"/>
          <w:sz w:val="40"/>
        </w:rPr>
        <w:t>4. Academic Performance Analysis</w:t>
      </w:r>
    </w:p>
    <w:p>
      <w:pPr>
        <w:spacing w:after="120" w:before="40"/>
      </w:pPr>
      <w:r>
        <w:rPr>
          <w:b w:val="0"/>
          <w:i w:val="0"/>
          <w:color w:val="404040"/>
          <w:sz w:val="21"/>
        </w:rPr>
        <w:t>Academic performance is highly polarised in this cohort. With a mean GPA of 1.91 (on a 0–4 scale) and a median of 1.89, the majority of students fall in the C–F range. The overall failure rate of 50.6% highlights a systemic problem that cannot be addressed through individual interventions alone — a structural, proactive system is required.</w:t>
      </w:r>
    </w:p>
    <w:p>
      <w:pPr>
        <w:spacing w:before="360" w:after="160"/>
      </w:pPr>
      <w:r>
        <w:rPr>
          <w:b/>
          <w:color w:val="1B2A4A"/>
          <w:sz w:val="30"/>
        </w:rPr>
        <w:t>4.1 Grade Distribution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20"/>
              </w:rPr>
              <w:t>Grade</w:t>
            </w:r>
          </w:p>
        </w:tc>
        <w:tc>
          <w:tcPr>
            <w:tcW w:type="dxa" w:w="2268"/>
            <w:shd w:val="clear" w:color="auto" w:fill="1B2A4A"/>
          </w:tcPr>
          <w:p>
            <w:pPr>
              <w:jc w:val="center"/>
            </w:pPr>
            <w:r>
              <w:rPr>
                <w:b/>
                <w:color w:val="FFFFFF"/>
                <w:sz w:val="20"/>
              </w:rPr>
              <w:t>Students</w:t>
            </w:r>
          </w:p>
        </w:tc>
        <w:tc>
          <w:tcPr>
            <w:tcW w:type="dxa" w:w="2268"/>
            <w:shd w:val="clear" w:color="auto" w:fill="1B2A4A"/>
          </w:tcPr>
          <w:p>
            <w:pPr>
              <w:jc w:val="center"/>
            </w:pPr>
            <w:r>
              <w:rPr>
                <w:b/>
                <w:color w:val="FFFFFF"/>
                <w:sz w:val="20"/>
              </w:rPr>
              <w:t>% of Cohort</w:t>
            </w:r>
          </w:p>
        </w:tc>
        <w:tc>
          <w:tcPr>
            <w:tcW w:type="dxa" w:w="2268"/>
            <w:shd w:val="clear" w:color="auto" w:fill="1B2A4A"/>
          </w:tcPr>
          <w:p>
            <w:pPr>
              <w:jc w:val="center"/>
            </w:pPr>
            <w:r>
              <w:rPr>
                <w:b/>
                <w:color w:val="FFFFFF"/>
                <w:sz w:val="20"/>
              </w:rPr>
              <w:t>Avg GPA</w:t>
            </w:r>
          </w:p>
        </w:tc>
      </w:tr>
      <w:tr>
        <w:tc>
          <w:tcPr>
            <w:tcW w:type="dxa" w:w="2268"/>
            <w:shd w:val="clear" w:color="auto" w:fill="FFFFFF"/>
          </w:tcPr>
          <w:p>
            <w:pPr>
              <w:jc w:val="center"/>
            </w:pPr>
            <w:r>
              <w:rPr>
                <w:sz w:val="20"/>
              </w:rPr>
              <w:t>A</w:t>
            </w:r>
          </w:p>
        </w:tc>
        <w:tc>
          <w:tcPr>
            <w:tcW w:type="dxa" w:w="2268"/>
            <w:shd w:val="clear" w:color="auto" w:fill="FFFFFF"/>
          </w:tcPr>
          <w:p>
            <w:pPr>
              <w:jc w:val="center"/>
            </w:pPr>
            <w:r>
              <w:rPr>
                <w:sz w:val="20"/>
              </w:rPr>
              <w:t>107</w:t>
            </w:r>
          </w:p>
        </w:tc>
        <w:tc>
          <w:tcPr>
            <w:tcW w:type="dxa" w:w="2268"/>
            <w:shd w:val="clear" w:color="auto" w:fill="FFFFFF"/>
          </w:tcPr>
          <w:p>
            <w:pPr>
              <w:jc w:val="center"/>
            </w:pPr>
            <w:r>
              <w:rPr>
                <w:sz w:val="20"/>
              </w:rPr>
              <w:t>4.5%</w:t>
            </w:r>
          </w:p>
        </w:tc>
        <w:tc>
          <w:tcPr>
            <w:tcW w:type="dxa" w:w="2268"/>
            <w:shd w:val="clear" w:color="auto" w:fill="FFFFFF"/>
          </w:tcPr>
          <w:p>
            <w:pPr>
              <w:jc w:val="center"/>
            </w:pPr>
            <w:r>
              <w:rPr>
                <w:sz w:val="20"/>
              </w:rPr>
              <w:t>3.82</w:t>
            </w:r>
          </w:p>
        </w:tc>
      </w:tr>
      <w:tr>
        <w:tc>
          <w:tcPr>
            <w:tcW w:type="dxa" w:w="2268"/>
            <w:shd w:val="clear" w:color="auto" w:fill="EBF2FA"/>
          </w:tcPr>
          <w:p>
            <w:pPr>
              <w:jc w:val="center"/>
            </w:pPr>
            <w:r>
              <w:rPr>
                <w:sz w:val="20"/>
              </w:rPr>
              <w:t>B</w:t>
            </w:r>
          </w:p>
        </w:tc>
        <w:tc>
          <w:tcPr>
            <w:tcW w:type="dxa" w:w="2268"/>
            <w:shd w:val="clear" w:color="auto" w:fill="EBF2FA"/>
          </w:tcPr>
          <w:p>
            <w:pPr>
              <w:jc w:val="center"/>
            </w:pPr>
            <w:r>
              <w:rPr>
                <w:sz w:val="20"/>
              </w:rPr>
              <w:t>269</w:t>
            </w:r>
          </w:p>
        </w:tc>
        <w:tc>
          <w:tcPr>
            <w:tcW w:type="dxa" w:w="2268"/>
            <w:shd w:val="clear" w:color="auto" w:fill="EBF2FA"/>
          </w:tcPr>
          <w:p>
            <w:pPr>
              <w:jc w:val="center"/>
            </w:pPr>
            <w:r>
              <w:rPr>
                <w:sz w:val="20"/>
              </w:rPr>
              <w:t>11.2%</w:t>
            </w:r>
          </w:p>
        </w:tc>
        <w:tc>
          <w:tcPr>
            <w:tcW w:type="dxa" w:w="2268"/>
            <w:shd w:val="clear" w:color="auto" w:fill="EBF2FA"/>
          </w:tcPr>
          <w:p>
            <w:pPr>
              <w:jc w:val="center"/>
            </w:pPr>
            <w:r>
              <w:rPr>
                <w:sz w:val="20"/>
              </w:rPr>
              <w:t>2.98</w:t>
            </w:r>
          </w:p>
        </w:tc>
      </w:tr>
      <w:tr>
        <w:tc>
          <w:tcPr>
            <w:tcW w:type="dxa" w:w="2268"/>
            <w:shd w:val="clear" w:color="auto" w:fill="FFFFFF"/>
          </w:tcPr>
          <w:p>
            <w:pPr>
              <w:jc w:val="center"/>
            </w:pPr>
            <w:r>
              <w:rPr>
                <w:sz w:val="20"/>
              </w:rPr>
              <w:t>C</w:t>
            </w:r>
          </w:p>
        </w:tc>
        <w:tc>
          <w:tcPr>
            <w:tcW w:type="dxa" w:w="2268"/>
            <w:shd w:val="clear" w:color="auto" w:fill="FFFFFF"/>
          </w:tcPr>
          <w:p>
            <w:pPr>
              <w:jc w:val="center"/>
            </w:pPr>
            <w:r>
              <w:rPr>
                <w:sz w:val="20"/>
              </w:rPr>
              <w:t>391</w:t>
            </w:r>
          </w:p>
        </w:tc>
        <w:tc>
          <w:tcPr>
            <w:tcW w:type="dxa" w:w="2268"/>
            <w:shd w:val="clear" w:color="auto" w:fill="FFFFFF"/>
          </w:tcPr>
          <w:p>
            <w:pPr>
              <w:jc w:val="center"/>
            </w:pPr>
            <w:r>
              <w:rPr>
                <w:sz w:val="20"/>
              </w:rPr>
              <w:t>16.4%</w:t>
            </w:r>
          </w:p>
        </w:tc>
        <w:tc>
          <w:tcPr>
            <w:tcW w:type="dxa" w:w="2268"/>
            <w:shd w:val="clear" w:color="auto" w:fill="FFFFFF"/>
          </w:tcPr>
          <w:p>
            <w:pPr>
              <w:jc w:val="center"/>
            </w:pPr>
            <w:r>
              <w:rPr>
                <w:sz w:val="20"/>
              </w:rPr>
              <w:t>2.15</w:t>
            </w:r>
          </w:p>
        </w:tc>
      </w:tr>
      <w:tr>
        <w:tc>
          <w:tcPr>
            <w:tcW w:type="dxa" w:w="2268"/>
            <w:shd w:val="clear" w:color="auto" w:fill="EBF2FA"/>
          </w:tcPr>
          <w:p>
            <w:pPr>
              <w:jc w:val="center"/>
            </w:pPr>
            <w:r>
              <w:rPr>
                <w:sz w:val="20"/>
              </w:rPr>
              <w:t>D</w:t>
            </w:r>
          </w:p>
        </w:tc>
        <w:tc>
          <w:tcPr>
            <w:tcW w:type="dxa" w:w="2268"/>
            <w:shd w:val="clear" w:color="auto" w:fill="EBF2FA"/>
          </w:tcPr>
          <w:p>
            <w:pPr>
              <w:jc w:val="center"/>
            </w:pPr>
            <w:r>
              <w:rPr>
                <w:sz w:val="20"/>
              </w:rPr>
              <w:t>414</w:t>
            </w:r>
          </w:p>
        </w:tc>
        <w:tc>
          <w:tcPr>
            <w:tcW w:type="dxa" w:w="2268"/>
            <w:shd w:val="clear" w:color="auto" w:fill="EBF2FA"/>
          </w:tcPr>
          <w:p>
            <w:pPr>
              <w:jc w:val="center"/>
            </w:pPr>
            <w:r>
              <w:rPr>
                <w:sz w:val="20"/>
              </w:rPr>
              <w:t>17.3%</w:t>
            </w:r>
          </w:p>
        </w:tc>
        <w:tc>
          <w:tcPr>
            <w:tcW w:type="dxa" w:w="2268"/>
            <w:shd w:val="clear" w:color="auto" w:fill="EBF2FA"/>
          </w:tcPr>
          <w:p>
            <w:pPr>
              <w:jc w:val="center"/>
            </w:pPr>
            <w:r>
              <w:rPr>
                <w:sz w:val="20"/>
              </w:rPr>
              <w:t>1.47</w:t>
            </w:r>
          </w:p>
        </w:tc>
      </w:tr>
      <w:tr>
        <w:tc>
          <w:tcPr>
            <w:tcW w:type="dxa" w:w="2268"/>
            <w:shd w:val="clear" w:color="auto" w:fill="FFFFFF"/>
          </w:tcPr>
          <w:p>
            <w:pPr>
              <w:jc w:val="center"/>
            </w:pPr>
            <w:r>
              <w:rPr>
                <w:sz w:val="20"/>
              </w:rPr>
              <w:t>F</w:t>
            </w:r>
          </w:p>
        </w:tc>
        <w:tc>
          <w:tcPr>
            <w:tcW w:type="dxa" w:w="2268"/>
            <w:shd w:val="clear" w:color="auto" w:fill="FFFFFF"/>
          </w:tcPr>
          <w:p>
            <w:pPr>
              <w:jc w:val="center"/>
            </w:pPr>
            <w:r>
              <w:rPr>
                <w:sz w:val="20"/>
              </w:rPr>
              <w:t>1,211</w:t>
            </w:r>
          </w:p>
        </w:tc>
        <w:tc>
          <w:tcPr>
            <w:tcW w:type="dxa" w:w="2268"/>
            <w:shd w:val="clear" w:color="auto" w:fill="FFFFFF"/>
          </w:tcPr>
          <w:p>
            <w:pPr>
              <w:jc w:val="center"/>
            </w:pPr>
            <w:r>
              <w:rPr>
                <w:sz w:val="20"/>
              </w:rPr>
              <w:t>50.6%</w:t>
            </w:r>
          </w:p>
        </w:tc>
        <w:tc>
          <w:tcPr>
            <w:tcW w:type="dxa" w:w="2268"/>
            <w:shd w:val="clear" w:color="auto" w:fill="FFFFFF"/>
          </w:tcPr>
          <w:p>
            <w:pPr>
              <w:jc w:val="center"/>
            </w:pPr>
            <w:r>
              <w:rPr>
                <w:sz w:val="20"/>
              </w:rPr>
              <w:t>0.91</w:t>
            </w:r>
          </w:p>
        </w:tc>
      </w:tr>
    </w:tbl>
    <w:p/>
    <w:p>
      <w:pPr>
        <w:spacing w:after="120" w:before="40"/>
      </w:pPr>
      <w:r>
        <w:rPr>
          <w:b w:val="0"/>
          <w:i w:val="0"/>
          <w:color w:val="404040"/>
          <w:sz w:val="21"/>
        </w:rPr>
        <w:t>Over half the cohort (1,211 students, 50.6%) received an F grade, making failure the modal outcome. Only 4.5% achieved an A grade. This extreme left-skew in academic performance is the primary institutional risk this project addresses.</w:t>
      </w:r>
    </w:p>
    <w:p>
      <w:pPr>
        <w:spacing w:before="360" w:after="160"/>
      </w:pPr>
      <w:r>
        <w:rPr>
          <w:b/>
          <w:color w:val="1B2A4A"/>
          <w:sz w:val="30"/>
        </w:rPr>
        <w:t>4.2 GPA by Parental Education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20"/>
              </w:rPr>
              <w:t>Parental Education Level</w:t>
            </w:r>
          </w:p>
        </w:tc>
        <w:tc>
          <w:tcPr>
            <w:tcW w:type="dxa" w:w="2268"/>
            <w:shd w:val="clear" w:color="auto" w:fill="1B2A4A"/>
          </w:tcPr>
          <w:p>
            <w:pPr>
              <w:jc w:val="center"/>
            </w:pPr>
            <w:r>
              <w:rPr>
                <w:b/>
                <w:color w:val="FFFFFF"/>
                <w:sz w:val="20"/>
              </w:rPr>
              <w:t>Students</w:t>
            </w:r>
          </w:p>
        </w:tc>
        <w:tc>
          <w:tcPr>
            <w:tcW w:type="dxa" w:w="2268"/>
            <w:shd w:val="clear" w:color="auto" w:fill="1B2A4A"/>
          </w:tcPr>
          <w:p>
            <w:pPr>
              <w:jc w:val="center"/>
            </w:pPr>
            <w:r>
              <w:rPr>
                <w:b/>
                <w:color w:val="FFFFFF"/>
                <w:sz w:val="20"/>
              </w:rPr>
              <w:t>Avg GPA</w:t>
            </w:r>
          </w:p>
        </w:tc>
        <w:tc>
          <w:tcPr>
            <w:tcW w:type="dxa" w:w="2268"/>
            <w:shd w:val="clear" w:color="auto" w:fill="1B2A4A"/>
          </w:tcPr>
          <w:p>
            <w:pPr>
              <w:jc w:val="center"/>
            </w:pPr>
            <w:r>
              <w:rPr>
                <w:b/>
                <w:color w:val="FFFFFF"/>
                <w:sz w:val="20"/>
              </w:rPr>
              <w:t>Fail Rate</w:t>
            </w:r>
          </w:p>
        </w:tc>
      </w:tr>
      <w:tr>
        <w:tc>
          <w:tcPr>
            <w:tcW w:type="dxa" w:w="2268"/>
            <w:shd w:val="clear" w:color="auto" w:fill="FFFFFF"/>
          </w:tcPr>
          <w:p>
            <w:pPr>
              <w:jc w:val="center"/>
            </w:pPr>
            <w:r>
              <w:rPr>
                <w:sz w:val="20"/>
              </w:rPr>
              <w:t>None</w:t>
            </w:r>
          </w:p>
        </w:tc>
        <w:tc>
          <w:tcPr>
            <w:tcW w:type="dxa" w:w="2268"/>
            <w:shd w:val="clear" w:color="auto" w:fill="FFFFFF"/>
          </w:tcPr>
          <w:p>
            <w:pPr>
              <w:jc w:val="center"/>
            </w:pPr>
            <w:r>
              <w:rPr>
                <w:sz w:val="20"/>
              </w:rPr>
              <w:t>approx. 480</w:t>
            </w:r>
          </w:p>
        </w:tc>
        <w:tc>
          <w:tcPr>
            <w:tcW w:type="dxa" w:w="2268"/>
            <w:shd w:val="clear" w:color="auto" w:fill="FFFFFF"/>
          </w:tcPr>
          <w:p>
            <w:pPr>
              <w:jc w:val="center"/>
            </w:pPr>
            <w:r>
              <w:rPr>
                <w:sz w:val="20"/>
              </w:rPr>
              <w:t>~1.85</w:t>
            </w:r>
          </w:p>
        </w:tc>
        <w:tc>
          <w:tcPr>
            <w:tcW w:type="dxa" w:w="2268"/>
            <w:shd w:val="clear" w:color="auto" w:fill="FFFFFF"/>
          </w:tcPr>
          <w:p>
            <w:pPr>
              <w:jc w:val="center"/>
            </w:pPr>
            <w:r>
              <w:rPr>
                <w:sz w:val="20"/>
              </w:rPr>
              <w:t>51.0%</w:t>
            </w:r>
          </w:p>
        </w:tc>
      </w:tr>
      <w:tr>
        <w:tc>
          <w:tcPr>
            <w:tcW w:type="dxa" w:w="2268"/>
            <w:shd w:val="clear" w:color="auto" w:fill="EBF2FA"/>
          </w:tcPr>
          <w:p>
            <w:pPr>
              <w:jc w:val="center"/>
            </w:pPr>
            <w:r>
              <w:rPr>
                <w:sz w:val="20"/>
              </w:rPr>
              <w:t>High School</w:t>
            </w:r>
          </w:p>
        </w:tc>
        <w:tc>
          <w:tcPr>
            <w:tcW w:type="dxa" w:w="2268"/>
            <w:shd w:val="clear" w:color="auto" w:fill="EBF2FA"/>
          </w:tcPr>
          <w:p>
            <w:pPr>
              <w:jc w:val="center"/>
            </w:pPr>
            <w:r>
              <w:rPr>
                <w:sz w:val="20"/>
              </w:rPr>
              <w:t>approx. 478</w:t>
            </w:r>
          </w:p>
        </w:tc>
        <w:tc>
          <w:tcPr>
            <w:tcW w:type="dxa" w:w="2268"/>
            <w:shd w:val="clear" w:color="auto" w:fill="EBF2FA"/>
          </w:tcPr>
          <w:p>
            <w:pPr>
              <w:jc w:val="center"/>
            </w:pPr>
            <w:r>
              <w:rPr>
                <w:sz w:val="20"/>
              </w:rPr>
              <w:t>~1.95</w:t>
            </w:r>
          </w:p>
        </w:tc>
        <w:tc>
          <w:tcPr>
            <w:tcW w:type="dxa" w:w="2268"/>
            <w:shd w:val="clear" w:color="auto" w:fill="EBF2FA"/>
          </w:tcPr>
          <w:p>
            <w:pPr>
              <w:jc w:val="center"/>
            </w:pPr>
            <w:r>
              <w:rPr>
                <w:sz w:val="20"/>
              </w:rPr>
              <w:t>48.1%</w:t>
            </w:r>
          </w:p>
        </w:tc>
      </w:tr>
      <w:tr>
        <w:tc>
          <w:tcPr>
            <w:tcW w:type="dxa" w:w="2268"/>
            <w:shd w:val="clear" w:color="auto" w:fill="FFFFFF"/>
          </w:tcPr>
          <w:p>
            <w:pPr>
              <w:jc w:val="center"/>
            </w:pPr>
            <w:r>
              <w:rPr>
                <w:sz w:val="20"/>
              </w:rPr>
              <w:t>Some College</w:t>
            </w:r>
          </w:p>
        </w:tc>
        <w:tc>
          <w:tcPr>
            <w:tcW w:type="dxa" w:w="2268"/>
            <w:shd w:val="clear" w:color="auto" w:fill="FFFFFF"/>
          </w:tcPr>
          <w:p>
            <w:pPr>
              <w:jc w:val="center"/>
            </w:pPr>
            <w:r>
              <w:rPr>
                <w:sz w:val="20"/>
              </w:rPr>
              <w:t>approx. 476</w:t>
            </w:r>
          </w:p>
        </w:tc>
        <w:tc>
          <w:tcPr>
            <w:tcW w:type="dxa" w:w="2268"/>
            <w:shd w:val="clear" w:color="auto" w:fill="FFFFFF"/>
          </w:tcPr>
          <w:p>
            <w:pPr>
              <w:jc w:val="center"/>
            </w:pPr>
            <w:r>
              <w:rPr>
                <w:sz w:val="20"/>
              </w:rPr>
              <w:t>~1.89</w:t>
            </w:r>
          </w:p>
        </w:tc>
        <w:tc>
          <w:tcPr>
            <w:tcW w:type="dxa" w:w="2268"/>
            <w:shd w:val="clear" w:color="auto" w:fill="FFFFFF"/>
          </w:tcPr>
          <w:p>
            <w:pPr>
              <w:jc w:val="center"/>
            </w:pPr>
            <w:r>
              <w:rPr>
                <w:sz w:val="20"/>
              </w:rPr>
              <w:t>50.5%</w:t>
            </w:r>
          </w:p>
        </w:tc>
      </w:tr>
      <w:tr>
        <w:tc>
          <w:tcPr>
            <w:tcW w:type="dxa" w:w="2268"/>
            <w:shd w:val="clear" w:color="auto" w:fill="EBF2FA"/>
          </w:tcPr>
          <w:p>
            <w:pPr>
              <w:jc w:val="center"/>
            </w:pPr>
            <w:r>
              <w:rPr>
                <w:sz w:val="20"/>
              </w:rPr>
              <w:t>Bachelor's</w:t>
            </w:r>
          </w:p>
        </w:tc>
        <w:tc>
          <w:tcPr>
            <w:tcW w:type="dxa" w:w="2268"/>
            <w:shd w:val="clear" w:color="auto" w:fill="EBF2FA"/>
          </w:tcPr>
          <w:p>
            <w:pPr>
              <w:jc w:val="center"/>
            </w:pPr>
            <w:r>
              <w:rPr>
                <w:sz w:val="20"/>
              </w:rPr>
              <w:t>approx. 476</w:t>
            </w:r>
          </w:p>
        </w:tc>
        <w:tc>
          <w:tcPr>
            <w:tcW w:type="dxa" w:w="2268"/>
            <w:shd w:val="clear" w:color="auto" w:fill="EBF2FA"/>
          </w:tcPr>
          <w:p>
            <w:pPr>
              <w:jc w:val="center"/>
            </w:pPr>
            <w:r>
              <w:rPr>
                <w:sz w:val="20"/>
              </w:rPr>
              <w:t>~1.86</w:t>
            </w:r>
          </w:p>
        </w:tc>
        <w:tc>
          <w:tcPr>
            <w:tcW w:type="dxa" w:w="2268"/>
            <w:shd w:val="clear" w:color="auto" w:fill="EBF2FA"/>
          </w:tcPr>
          <w:p>
            <w:pPr>
              <w:jc w:val="center"/>
            </w:pPr>
            <w:r>
              <w:rPr>
                <w:sz w:val="20"/>
              </w:rPr>
              <w:t>52.0%</w:t>
            </w:r>
          </w:p>
        </w:tc>
      </w:tr>
      <w:tr>
        <w:tc>
          <w:tcPr>
            <w:tcW w:type="dxa" w:w="2268"/>
            <w:shd w:val="clear" w:color="auto" w:fill="FFFFFF"/>
          </w:tcPr>
          <w:p>
            <w:pPr>
              <w:jc w:val="center"/>
            </w:pPr>
            <w:r>
              <w:rPr>
                <w:sz w:val="20"/>
              </w:rPr>
              <w:t>Higher Degree</w:t>
            </w:r>
          </w:p>
        </w:tc>
        <w:tc>
          <w:tcPr>
            <w:tcW w:type="dxa" w:w="2268"/>
            <w:shd w:val="clear" w:color="auto" w:fill="FFFFFF"/>
          </w:tcPr>
          <w:p>
            <w:pPr>
              <w:jc w:val="center"/>
            </w:pPr>
            <w:r>
              <w:rPr>
                <w:sz w:val="20"/>
              </w:rPr>
              <w:t>approx. 482</w:t>
            </w:r>
          </w:p>
        </w:tc>
        <w:tc>
          <w:tcPr>
            <w:tcW w:type="dxa" w:w="2268"/>
            <w:shd w:val="clear" w:color="auto" w:fill="FFFFFF"/>
          </w:tcPr>
          <w:p>
            <w:pPr>
              <w:jc w:val="center"/>
            </w:pPr>
            <w:r>
              <w:rPr>
                <w:sz w:val="20"/>
              </w:rPr>
              <w:t>~1.63</w:t>
            </w:r>
          </w:p>
        </w:tc>
        <w:tc>
          <w:tcPr>
            <w:tcW w:type="dxa" w:w="2268"/>
            <w:shd w:val="clear" w:color="auto" w:fill="FFFFFF"/>
          </w:tcPr>
          <w:p>
            <w:pPr>
              <w:jc w:val="center"/>
            </w:pPr>
            <w:r>
              <w:rPr>
                <w:sz w:val="20"/>
              </w:rPr>
              <w:t>61.7%</w:t>
            </w:r>
          </w:p>
        </w:tc>
      </w:tr>
    </w:tbl>
    <w:p/>
    <w:p>
      <w:pPr>
        <w:spacing w:after="120" w:before="40"/>
      </w:pPr>
      <w:r>
        <w:rPr>
          <w:b w:val="0"/>
          <w:i w:val="0"/>
          <w:color w:val="404040"/>
          <w:sz w:val="21"/>
        </w:rPr>
        <w:t>Notably, students whose parents hold higher degrees have the highest failure rate (61.7%). This counter-intuitive finding may reflect higher course loads, aspirational mismatches, or self-reliance pressures. Parental education level alone has a low GPA correlation (r = −0.036), confirming it is not a primary predictor.</w:t>
      </w:r>
    </w:p>
    <w:p>
      <w:pPr>
        <w:spacing w:before="360" w:after="160"/>
        <w:jc w:val="left"/>
        <w:pBdr>
          <w:bottom w:val="single" w:sz="6" w:space="1" w:color="2E5090"/>
        </w:pBdr>
      </w:pPr>
      <w:r>
        <w:rPr>
          <w:b/>
          <w:color w:val="1B2A4A"/>
          <w:sz w:val="40"/>
        </w:rPr>
        <w:t>5. Risk Factor Analysis</w:t>
      </w:r>
    </w:p>
    <w:p>
      <w:pPr>
        <w:spacing w:after="120" w:before="40"/>
      </w:pPr>
      <w:r>
        <w:rPr>
          <w:b w:val="0"/>
          <w:i w:val="0"/>
          <w:color w:val="404040"/>
          <w:sz w:val="21"/>
        </w:rPr>
        <w:t>To understand what drives academic failure, Pearson correlation coefficients were computed between each candidate factor and GPA. Additionally, band-level analysis was conducted to capture non-linear effects.</w:t>
      </w:r>
    </w:p>
    <w:p>
      <w:pPr>
        <w:spacing w:before="360" w:after="160"/>
      </w:pPr>
      <w:r>
        <w:rPr>
          <w:b/>
          <w:color w:val="1B2A4A"/>
          <w:sz w:val="30"/>
        </w:rPr>
        <w:t>5.1 Correlation with GPA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20"/>
              </w:rPr>
              <w:t>Risk Factor</w:t>
            </w:r>
          </w:p>
        </w:tc>
        <w:tc>
          <w:tcPr>
            <w:tcW w:type="dxa" w:w="2268"/>
            <w:shd w:val="clear" w:color="auto" w:fill="1B2A4A"/>
          </w:tcPr>
          <w:p>
            <w:pPr>
              <w:jc w:val="center"/>
            </w:pPr>
            <w:r>
              <w:rPr>
                <w:b/>
                <w:color w:val="FFFFFF"/>
                <w:sz w:val="20"/>
              </w:rPr>
              <w:t>Pearson r</w:t>
            </w:r>
          </w:p>
        </w:tc>
        <w:tc>
          <w:tcPr>
            <w:tcW w:type="dxa" w:w="2268"/>
            <w:shd w:val="clear" w:color="auto" w:fill="1B2A4A"/>
          </w:tcPr>
          <w:p>
            <w:pPr>
              <w:jc w:val="center"/>
            </w:pPr>
            <w:r>
              <w:rPr>
                <w:b/>
                <w:color w:val="FFFFFF"/>
                <w:sz w:val="20"/>
              </w:rPr>
              <w:t>Strength</w:t>
            </w:r>
          </w:p>
        </w:tc>
        <w:tc>
          <w:tcPr>
            <w:tcW w:type="dxa" w:w="2268"/>
            <w:shd w:val="clear" w:color="auto" w:fill="1B2A4A"/>
          </w:tcPr>
          <w:p>
            <w:pPr>
              <w:jc w:val="center"/>
            </w:pPr>
            <w:r>
              <w:rPr>
                <w:b/>
                <w:color w:val="FFFFFF"/>
                <w:sz w:val="20"/>
              </w:rPr>
              <w:t>Direction</w:t>
            </w:r>
          </w:p>
        </w:tc>
      </w:tr>
      <w:tr>
        <w:tc>
          <w:tcPr>
            <w:tcW w:type="dxa" w:w="2268"/>
            <w:shd w:val="clear" w:color="auto" w:fill="FFFFFF"/>
          </w:tcPr>
          <w:p>
            <w:pPr>
              <w:jc w:val="center"/>
            </w:pPr>
            <w:r>
              <w:rPr>
                <w:sz w:val="20"/>
              </w:rPr>
              <w:t>Absences</w:t>
            </w:r>
          </w:p>
        </w:tc>
        <w:tc>
          <w:tcPr>
            <w:tcW w:type="dxa" w:w="2268"/>
            <w:shd w:val="clear" w:color="auto" w:fill="FFFFFF"/>
          </w:tcPr>
          <w:p>
            <w:pPr>
              <w:jc w:val="center"/>
            </w:pPr>
            <w:r>
              <w:rPr>
                <w:sz w:val="20"/>
              </w:rPr>
              <w:t>−0.9193</w:t>
            </w:r>
          </w:p>
        </w:tc>
        <w:tc>
          <w:tcPr>
            <w:tcW w:type="dxa" w:w="2268"/>
            <w:shd w:val="clear" w:color="auto" w:fill="FFFFFF"/>
          </w:tcPr>
          <w:p>
            <w:pPr>
              <w:jc w:val="center"/>
            </w:pPr>
            <w:r>
              <w:rPr>
                <w:sz w:val="20"/>
              </w:rPr>
              <w:t>Very Strong</w:t>
            </w:r>
          </w:p>
        </w:tc>
        <w:tc>
          <w:tcPr>
            <w:tcW w:type="dxa" w:w="2268"/>
            <w:shd w:val="clear" w:color="auto" w:fill="FFFFFF"/>
          </w:tcPr>
          <w:p>
            <w:pPr>
              <w:jc w:val="center"/>
            </w:pPr>
            <w:r>
              <w:rPr>
                <w:sz w:val="20"/>
              </w:rPr>
              <w:t>Negative — more absences → much lower GPA</w:t>
            </w:r>
          </w:p>
        </w:tc>
      </w:tr>
      <w:tr>
        <w:tc>
          <w:tcPr>
            <w:tcW w:type="dxa" w:w="2268"/>
            <w:shd w:val="clear" w:color="auto" w:fill="EBF2FA"/>
          </w:tcPr>
          <w:p>
            <w:pPr>
              <w:jc w:val="center"/>
            </w:pPr>
            <w:r>
              <w:rPr>
                <w:sz w:val="20"/>
              </w:rPr>
              <w:t>Parental Support</w:t>
            </w:r>
          </w:p>
        </w:tc>
        <w:tc>
          <w:tcPr>
            <w:tcW w:type="dxa" w:w="2268"/>
            <w:shd w:val="clear" w:color="auto" w:fill="EBF2FA"/>
          </w:tcPr>
          <w:p>
            <w:pPr>
              <w:jc w:val="center"/>
            </w:pPr>
            <w:r>
              <w:rPr>
                <w:sz w:val="20"/>
              </w:rPr>
              <w:t>+0.1908</w:t>
            </w:r>
          </w:p>
        </w:tc>
        <w:tc>
          <w:tcPr>
            <w:tcW w:type="dxa" w:w="2268"/>
            <w:shd w:val="clear" w:color="auto" w:fill="EBF2FA"/>
          </w:tcPr>
          <w:p>
            <w:pPr>
              <w:jc w:val="center"/>
            </w:pPr>
            <w:r>
              <w:rPr>
                <w:sz w:val="20"/>
              </w:rPr>
              <w:t>Weak</w:t>
            </w:r>
          </w:p>
        </w:tc>
        <w:tc>
          <w:tcPr>
            <w:tcW w:type="dxa" w:w="2268"/>
            <w:shd w:val="clear" w:color="auto" w:fill="EBF2FA"/>
          </w:tcPr>
          <w:p>
            <w:pPr>
              <w:jc w:val="center"/>
            </w:pPr>
            <w:r>
              <w:rPr>
                <w:sz w:val="20"/>
              </w:rPr>
              <w:t>Positive — more support → slightly higher GPA</w:t>
            </w:r>
          </w:p>
        </w:tc>
      </w:tr>
      <w:tr>
        <w:tc>
          <w:tcPr>
            <w:tcW w:type="dxa" w:w="2268"/>
            <w:shd w:val="clear" w:color="auto" w:fill="FFFFFF"/>
          </w:tcPr>
          <w:p>
            <w:pPr>
              <w:jc w:val="center"/>
            </w:pPr>
            <w:r>
              <w:rPr>
                <w:sz w:val="20"/>
              </w:rPr>
              <w:t>Study Time Weekly</w:t>
            </w:r>
          </w:p>
        </w:tc>
        <w:tc>
          <w:tcPr>
            <w:tcW w:type="dxa" w:w="2268"/>
            <w:shd w:val="clear" w:color="auto" w:fill="FFFFFF"/>
          </w:tcPr>
          <w:p>
            <w:pPr>
              <w:jc w:val="center"/>
            </w:pPr>
            <w:r>
              <w:rPr>
                <w:sz w:val="20"/>
              </w:rPr>
              <w:t>+0.1793</w:t>
            </w:r>
          </w:p>
        </w:tc>
        <w:tc>
          <w:tcPr>
            <w:tcW w:type="dxa" w:w="2268"/>
            <w:shd w:val="clear" w:color="auto" w:fill="FFFFFF"/>
          </w:tcPr>
          <w:p>
            <w:pPr>
              <w:jc w:val="center"/>
            </w:pPr>
            <w:r>
              <w:rPr>
                <w:sz w:val="20"/>
              </w:rPr>
              <w:t>Weak</w:t>
            </w:r>
          </w:p>
        </w:tc>
        <w:tc>
          <w:tcPr>
            <w:tcW w:type="dxa" w:w="2268"/>
            <w:shd w:val="clear" w:color="auto" w:fill="FFFFFF"/>
          </w:tcPr>
          <w:p>
            <w:pPr>
              <w:jc w:val="center"/>
            </w:pPr>
            <w:r>
              <w:rPr>
                <w:sz w:val="20"/>
              </w:rPr>
              <w:t>Positive — more study → slightly higher GPA</w:t>
            </w:r>
          </w:p>
        </w:tc>
      </w:tr>
      <w:tr>
        <w:tc>
          <w:tcPr>
            <w:tcW w:type="dxa" w:w="2268"/>
            <w:shd w:val="clear" w:color="auto" w:fill="EBF2FA"/>
          </w:tcPr>
          <w:p>
            <w:pPr>
              <w:jc w:val="center"/>
            </w:pPr>
            <w:r>
              <w:rPr>
                <w:sz w:val="20"/>
              </w:rPr>
              <w:t>Tutoring</w:t>
            </w:r>
          </w:p>
        </w:tc>
        <w:tc>
          <w:tcPr>
            <w:tcW w:type="dxa" w:w="2268"/>
            <w:shd w:val="clear" w:color="auto" w:fill="EBF2FA"/>
          </w:tcPr>
          <w:p>
            <w:pPr>
              <w:jc w:val="center"/>
            </w:pPr>
            <w:r>
              <w:rPr>
                <w:sz w:val="20"/>
              </w:rPr>
              <w:t>+0.1451</w:t>
            </w:r>
          </w:p>
        </w:tc>
        <w:tc>
          <w:tcPr>
            <w:tcW w:type="dxa" w:w="2268"/>
            <w:shd w:val="clear" w:color="auto" w:fill="EBF2FA"/>
          </w:tcPr>
          <w:p>
            <w:pPr>
              <w:jc w:val="center"/>
            </w:pPr>
            <w:r>
              <w:rPr>
                <w:sz w:val="20"/>
              </w:rPr>
              <w:t>Weak</w:t>
            </w:r>
          </w:p>
        </w:tc>
        <w:tc>
          <w:tcPr>
            <w:tcW w:type="dxa" w:w="2268"/>
            <w:shd w:val="clear" w:color="auto" w:fill="EBF2FA"/>
          </w:tcPr>
          <w:p>
            <w:pPr>
              <w:jc w:val="center"/>
            </w:pPr>
            <w:r>
              <w:rPr>
                <w:sz w:val="20"/>
              </w:rPr>
              <w:t>Positive — tutoring students avg 0.29 GPA higher</w:t>
            </w:r>
          </w:p>
        </w:tc>
      </w:tr>
      <w:tr>
        <w:tc>
          <w:tcPr>
            <w:tcW w:type="dxa" w:w="2268"/>
            <w:shd w:val="clear" w:color="auto" w:fill="FFFFFF"/>
          </w:tcPr>
          <w:p>
            <w:pPr>
              <w:jc w:val="center"/>
            </w:pPr>
            <w:r>
              <w:rPr>
                <w:sz w:val="20"/>
              </w:rPr>
              <w:t>Parental Education</w:t>
            </w:r>
          </w:p>
        </w:tc>
        <w:tc>
          <w:tcPr>
            <w:tcW w:type="dxa" w:w="2268"/>
            <w:shd w:val="clear" w:color="auto" w:fill="FFFFFF"/>
          </w:tcPr>
          <w:p>
            <w:pPr>
              <w:jc w:val="center"/>
            </w:pPr>
            <w:r>
              <w:rPr>
                <w:sz w:val="20"/>
              </w:rPr>
              <w:t>−0.0359</w:t>
            </w:r>
          </w:p>
        </w:tc>
        <w:tc>
          <w:tcPr>
            <w:tcW w:type="dxa" w:w="2268"/>
            <w:shd w:val="clear" w:color="auto" w:fill="FFFFFF"/>
          </w:tcPr>
          <w:p>
            <w:pPr>
              <w:jc w:val="center"/>
            </w:pPr>
            <w:r>
              <w:rPr>
                <w:sz w:val="20"/>
              </w:rPr>
              <w:t>Negligible</w:t>
            </w:r>
          </w:p>
        </w:tc>
        <w:tc>
          <w:tcPr>
            <w:tcW w:type="dxa" w:w="2268"/>
            <w:shd w:val="clear" w:color="auto" w:fill="FFFFFF"/>
          </w:tcPr>
          <w:p>
            <w:pPr>
              <w:jc w:val="center"/>
            </w:pPr>
            <w:r>
              <w:rPr>
                <w:sz w:val="20"/>
              </w:rPr>
              <w:t>Near zero — not a reliable predictor</w:t>
            </w:r>
          </w:p>
        </w:tc>
      </w:tr>
    </w:tbl>
    <w:p/>
    <w:p>
      <w:pPr>
        <w:spacing w:after="120" w:before="40"/>
      </w:pPr>
      <w:r>
        <w:rPr>
          <w:b w:val="0"/>
          <w:i w:val="0"/>
          <w:color w:val="404040"/>
          <w:sz w:val="21"/>
        </w:rPr>
        <w:t>Absences is the overwhelmingly dominant predictor (r = −0.9193), explaining approximately 84.5% of GPA variance. This finding is critical: absenteeism is observable, measurable, and most importantly, actionable through early alerts.</w:t>
      </w:r>
    </w:p>
    <w:p>
      <w:pPr>
        <w:spacing w:before="360" w:after="160"/>
      </w:pPr>
      <w:r>
        <w:rPr>
          <w:b/>
          <w:color w:val="1B2A4A"/>
          <w:sz w:val="30"/>
        </w:rPr>
        <w:t>5.2 Tutoring &amp; Parental Support Impact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B2A4A"/>
          </w:tcPr>
          <w:p>
            <w:pPr>
              <w:jc w:val="center"/>
            </w:pPr>
            <w:r>
              <w:rPr>
                <w:b/>
                <w:color w:val="FFFFFF"/>
                <w:sz w:val="20"/>
              </w:rPr>
              <w:t>Group</w:t>
            </w:r>
          </w:p>
        </w:tc>
        <w:tc>
          <w:tcPr>
            <w:tcW w:type="dxa" w:w="3024"/>
            <w:shd w:val="clear" w:color="auto" w:fill="1B2A4A"/>
          </w:tcPr>
          <w:p>
            <w:pPr>
              <w:jc w:val="center"/>
            </w:pPr>
            <w:r>
              <w:rPr>
                <w:b/>
                <w:color w:val="FFFFFF"/>
                <w:sz w:val="20"/>
              </w:rPr>
              <w:t>Avg GPA</w:t>
            </w:r>
          </w:p>
        </w:tc>
        <w:tc>
          <w:tcPr>
            <w:tcW w:type="dxa" w:w="3024"/>
            <w:shd w:val="clear" w:color="auto" w:fill="1B2A4A"/>
          </w:tcPr>
          <w:p>
            <w:pPr>
              <w:jc w:val="center"/>
            </w:pPr>
            <w:r>
              <w:rPr>
                <w:b/>
                <w:color w:val="FFFFFF"/>
                <w:sz w:val="20"/>
              </w:rPr>
              <w:t>Difference</w:t>
            </w:r>
          </w:p>
        </w:tc>
      </w:tr>
      <w:tr>
        <w:tc>
          <w:tcPr>
            <w:tcW w:type="dxa" w:w="3024"/>
            <w:shd w:val="clear" w:color="auto" w:fill="FFFFFF"/>
          </w:tcPr>
          <w:p>
            <w:pPr>
              <w:jc w:val="center"/>
            </w:pPr>
            <w:r>
              <w:rPr>
                <w:sz w:val="20"/>
              </w:rPr>
              <w:t>No Tutoring</w:t>
            </w:r>
          </w:p>
        </w:tc>
        <w:tc>
          <w:tcPr>
            <w:tcW w:type="dxa" w:w="3024"/>
            <w:shd w:val="clear" w:color="auto" w:fill="FFFFFF"/>
          </w:tcPr>
          <w:p>
            <w:pPr>
              <w:jc w:val="center"/>
            </w:pPr>
            <w:r>
              <w:rPr>
                <w:sz w:val="20"/>
              </w:rPr>
              <w:t>1.82</w:t>
            </w:r>
          </w:p>
        </w:tc>
        <w:tc>
          <w:tcPr>
            <w:tcW w:type="dxa" w:w="3024"/>
            <w:shd w:val="clear" w:color="auto" w:fill="FFFFFF"/>
          </w:tcPr>
          <w:p>
            <w:pPr>
              <w:jc w:val="center"/>
            </w:pPr>
            <w:r>
              <w:rPr>
                <w:sz w:val="20"/>
              </w:rPr>
              <w:t>—</w:t>
            </w:r>
          </w:p>
        </w:tc>
      </w:tr>
      <w:tr>
        <w:tc>
          <w:tcPr>
            <w:tcW w:type="dxa" w:w="3024"/>
            <w:shd w:val="clear" w:color="auto" w:fill="EBF2FA"/>
          </w:tcPr>
          <w:p>
            <w:pPr>
              <w:jc w:val="center"/>
            </w:pPr>
            <w:r>
              <w:rPr>
                <w:sz w:val="20"/>
              </w:rPr>
              <w:t>With Tutoring</w:t>
            </w:r>
          </w:p>
        </w:tc>
        <w:tc>
          <w:tcPr>
            <w:tcW w:type="dxa" w:w="3024"/>
            <w:shd w:val="clear" w:color="auto" w:fill="EBF2FA"/>
          </w:tcPr>
          <w:p>
            <w:pPr>
              <w:jc w:val="center"/>
            </w:pPr>
            <w:r>
              <w:rPr>
                <w:sz w:val="20"/>
              </w:rPr>
              <w:t>2.11</w:t>
            </w:r>
          </w:p>
        </w:tc>
        <w:tc>
          <w:tcPr>
            <w:tcW w:type="dxa" w:w="3024"/>
            <w:shd w:val="clear" w:color="auto" w:fill="EBF2FA"/>
          </w:tcPr>
          <w:p>
            <w:pPr>
              <w:jc w:val="center"/>
            </w:pPr>
            <w:r>
              <w:rPr>
                <w:sz w:val="20"/>
              </w:rPr>
              <w:t>+0.29 ↑</w:t>
            </w:r>
          </w:p>
        </w:tc>
      </w:tr>
      <w:tr>
        <w:tc>
          <w:tcPr>
            <w:tcW w:type="dxa" w:w="3024"/>
            <w:shd w:val="clear" w:color="auto" w:fill="FFFFFF"/>
          </w:tcPr>
          <w:p>
            <w:pPr>
              <w:jc w:val="center"/>
            </w:pPr>
            <w:r>
              <w:rPr>
                <w:sz w:val="20"/>
              </w:rPr>
              <w:t>No Parental Support</w:t>
            </w:r>
          </w:p>
        </w:tc>
        <w:tc>
          <w:tcPr>
            <w:tcW w:type="dxa" w:w="3024"/>
            <w:shd w:val="clear" w:color="auto" w:fill="FFFFFF"/>
          </w:tcPr>
          <w:p>
            <w:pPr>
              <w:jc w:val="center"/>
            </w:pPr>
            <w:r>
              <w:rPr>
                <w:sz w:val="20"/>
              </w:rPr>
              <w:t>1.54</w:t>
            </w:r>
          </w:p>
        </w:tc>
        <w:tc>
          <w:tcPr>
            <w:tcW w:type="dxa" w:w="3024"/>
            <w:shd w:val="clear" w:color="auto" w:fill="FFFFFF"/>
          </w:tcPr>
          <w:p>
            <w:pPr>
              <w:jc w:val="center"/>
            </w:pPr>
            <w:r>
              <w:rPr>
                <w:sz w:val="20"/>
              </w:rPr>
              <w:t>—</w:t>
            </w:r>
          </w:p>
        </w:tc>
      </w:tr>
      <w:tr>
        <w:tc>
          <w:tcPr>
            <w:tcW w:type="dxa" w:w="3024"/>
            <w:shd w:val="clear" w:color="auto" w:fill="EBF2FA"/>
          </w:tcPr>
          <w:p>
            <w:pPr>
              <w:jc w:val="center"/>
            </w:pPr>
            <w:r>
              <w:rPr>
                <w:sz w:val="20"/>
              </w:rPr>
              <w:t>Very High Support</w:t>
            </w:r>
          </w:p>
        </w:tc>
        <w:tc>
          <w:tcPr>
            <w:tcW w:type="dxa" w:w="3024"/>
            <w:shd w:val="clear" w:color="auto" w:fill="EBF2FA"/>
          </w:tcPr>
          <w:p>
            <w:pPr>
              <w:jc w:val="center"/>
            </w:pPr>
            <w:r>
              <w:rPr>
                <w:sz w:val="20"/>
              </w:rPr>
              <w:t>2.19</w:t>
            </w:r>
          </w:p>
        </w:tc>
        <w:tc>
          <w:tcPr>
            <w:tcW w:type="dxa" w:w="3024"/>
            <w:shd w:val="clear" w:color="auto" w:fill="EBF2FA"/>
          </w:tcPr>
          <w:p>
            <w:pPr>
              <w:jc w:val="center"/>
            </w:pPr>
            <w:r>
              <w:rPr>
                <w:sz w:val="20"/>
              </w:rPr>
              <w:t>+0.65 ↑</w:t>
            </w:r>
          </w:p>
        </w:tc>
      </w:tr>
    </w:tbl>
    <w:p/>
    <w:p>
      <w:r>
        <w:br w:type="page"/>
      </w:r>
    </w:p>
    <w:p>
      <w:pPr>
        <w:spacing w:before="80" w:after="160"/>
        <w:jc w:val="left"/>
        <w:pBdr>
          <w:bottom w:val="single" w:sz="6" w:space="1" w:color="2E5090"/>
        </w:pBdr>
      </w:pPr>
      <w:r>
        <w:rPr>
          <w:b/>
          <w:color w:val="1B2A4A"/>
          <w:sz w:val="40"/>
        </w:rPr>
        <w:t>6. Performance Risk Index &amp; Scoring</w:t>
      </w:r>
    </w:p>
    <w:p>
      <w:pPr>
        <w:spacing w:after="120" w:before="40"/>
      </w:pPr>
      <w:r>
        <w:rPr>
          <w:b w:val="0"/>
          <w:i w:val="0"/>
          <w:color w:val="404040"/>
          <w:sz w:val="21"/>
        </w:rPr>
        <w:t>Every student is assigned a composite Risk Score (0–100) that aggregates the five most predictive academic indicators. The weights reflect each factor's relative predictive power as determined by correlation analysis and domain expertise.</w:t>
      </w:r>
    </w:p>
    <w:p>
      <w:pPr>
        <w:spacing w:before="360" w:after="160"/>
      </w:pPr>
      <w:r>
        <w:rPr>
          <w:b/>
          <w:color w:val="1B2A4A"/>
          <w:sz w:val="30"/>
        </w:rPr>
        <w:t>6.1 Risk Score Formula</w:t>
      </w:r>
    </w:p>
    <w:p>
      <w:pPr>
        <w:spacing w:after="200"/>
      </w:pPr>
      <w:r>
        <w:rPr>
          <w:rFonts w:ascii="Courier New" w:hAnsi="Courier New"/>
          <w:b/>
          <w:color w:val="1B2A4A"/>
          <w:sz w:val="20"/>
        </w:rPr>
        <w:t>Risk Score  =  (1 − GPA/4) × 35  +  (Absences/Max) × 25  +  (1 − StudyTime/Max) × 20  +  (1 − Support/4) × 10  +  (Grade/4) × 10</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B2A4A"/>
          </w:tcPr>
          <w:p>
            <w:pPr>
              <w:jc w:val="center"/>
            </w:pPr>
            <w:r>
              <w:rPr>
                <w:b/>
                <w:color w:val="FFFFFF"/>
                <w:sz w:val="20"/>
              </w:rPr>
              <w:t>Factor</w:t>
            </w:r>
          </w:p>
        </w:tc>
        <w:tc>
          <w:tcPr>
            <w:tcW w:type="dxa" w:w="3024"/>
            <w:shd w:val="clear" w:color="auto" w:fill="1B2A4A"/>
          </w:tcPr>
          <w:p>
            <w:pPr>
              <w:jc w:val="center"/>
            </w:pPr>
            <w:r>
              <w:rPr>
                <w:b/>
                <w:color w:val="FFFFFF"/>
                <w:sz w:val="20"/>
              </w:rPr>
              <w:t>Weight</w:t>
            </w:r>
          </w:p>
        </w:tc>
        <w:tc>
          <w:tcPr>
            <w:tcW w:type="dxa" w:w="3024"/>
            <w:shd w:val="clear" w:color="auto" w:fill="1B2A4A"/>
          </w:tcPr>
          <w:p>
            <w:pPr>
              <w:jc w:val="center"/>
            </w:pPr>
            <w:r>
              <w:rPr>
                <w:b/>
                <w:color w:val="FFFFFF"/>
                <w:sz w:val="20"/>
              </w:rPr>
              <w:t>Justification</w:t>
            </w:r>
          </w:p>
        </w:tc>
      </w:tr>
      <w:tr>
        <w:tc>
          <w:tcPr>
            <w:tcW w:type="dxa" w:w="3024"/>
            <w:shd w:val="clear" w:color="auto" w:fill="FFFFFF"/>
          </w:tcPr>
          <w:p>
            <w:pPr>
              <w:jc w:val="center"/>
            </w:pPr>
            <w:r>
              <w:rPr>
                <w:sz w:val="20"/>
              </w:rPr>
              <w:t>GPA</w:t>
            </w:r>
          </w:p>
        </w:tc>
        <w:tc>
          <w:tcPr>
            <w:tcW w:type="dxa" w:w="3024"/>
            <w:shd w:val="clear" w:color="auto" w:fill="FFFFFF"/>
          </w:tcPr>
          <w:p>
            <w:pPr>
              <w:jc w:val="center"/>
            </w:pPr>
            <w:r>
              <w:rPr>
                <w:sz w:val="20"/>
              </w:rPr>
              <w:t>35%</w:t>
            </w:r>
          </w:p>
        </w:tc>
        <w:tc>
          <w:tcPr>
            <w:tcW w:type="dxa" w:w="3024"/>
            <w:shd w:val="clear" w:color="auto" w:fill="FFFFFF"/>
          </w:tcPr>
          <w:p>
            <w:pPr>
              <w:jc w:val="center"/>
            </w:pPr>
            <w:r>
              <w:rPr>
                <w:sz w:val="20"/>
              </w:rPr>
              <w:t>Primary academic outcome — strongest overall predictor</w:t>
            </w:r>
          </w:p>
        </w:tc>
      </w:tr>
      <w:tr>
        <w:tc>
          <w:tcPr>
            <w:tcW w:type="dxa" w:w="3024"/>
            <w:shd w:val="clear" w:color="auto" w:fill="EBF2FA"/>
          </w:tcPr>
          <w:p>
            <w:pPr>
              <w:jc w:val="center"/>
            </w:pPr>
            <w:r>
              <w:rPr>
                <w:sz w:val="20"/>
              </w:rPr>
              <w:t>Absences</w:t>
            </w:r>
          </w:p>
        </w:tc>
        <w:tc>
          <w:tcPr>
            <w:tcW w:type="dxa" w:w="3024"/>
            <w:shd w:val="clear" w:color="auto" w:fill="EBF2FA"/>
          </w:tcPr>
          <w:p>
            <w:pPr>
              <w:jc w:val="center"/>
            </w:pPr>
            <w:r>
              <w:rPr>
                <w:sz w:val="20"/>
              </w:rPr>
              <w:t>25%</w:t>
            </w:r>
          </w:p>
        </w:tc>
        <w:tc>
          <w:tcPr>
            <w:tcW w:type="dxa" w:w="3024"/>
            <w:shd w:val="clear" w:color="auto" w:fill="EBF2FA"/>
          </w:tcPr>
          <w:p>
            <w:pPr>
              <w:jc w:val="center"/>
            </w:pPr>
            <w:r>
              <w:rPr>
                <w:sz w:val="20"/>
              </w:rPr>
              <w:t>Very strong negative correlation (r = −0.92)</w:t>
            </w:r>
          </w:p>
        </w:tc>
      </w:tr>
      <w:tr>
        <w:tc>
          <w:tcPr>
            <w:tcW w:type="dxa" w:w="3024"/>
            <w:shd w:val="clear" w:color="auto" w:fill="FFFFFF"/>
          </w:tcPr>
          <w:p>
            <w:pPr>
              <w:jc w:val="center"/>
            </w:pPr>
            <w:r>
              <w:rPr>
                <w:sz w:val="20"/>
              </w:rPr>
              <w:t>Study Time</w:t>
            </w:r>
          </w:p>
        </w:tc>
        <w:tc>
          <w:tcPr>
            <w:tcW w:type="dxa" w:w="3024"/>
            <w:shd w:val="clear" w:color="auto" w:fill="FFFFFF"/>
          </w:tcPr>
          <w:p>
            <w:pPr>
              <w:jc w:val="center"/>
            </w:pPr>
            <w:r>
              <w:rPr>
                <w:sz w:val="20"/>
              </w:rPr>
              <w:t>20%</w:t>
            </w:r>
          </w:p>
        </w:tc>
        <w:tc>
          <w:tcPr>
            <w:tcW w:type="dxa" w:w="3024"/>
            <w:shd w:val="clear" w:color="auto" w:fill="FFFFFF"/>
          </w:tcPr>
          <w:p>
            <w:pPr>
              <w:jc w:val="center"/>
            </w:pPr>
            <w:r>
              <w:rPr>
                <w:sz w:val="20"/>
              </w:rPr>
              <w:t>Directly modifiable behaviour</w:t>
            </w:r>
          </w:p>
        </w:tc>
      </w:tr>
      <w:tr>
        <w:tc>
          <w:tcPr>
            <w:tcW w:type="dxa" w:w="3024"/>
            <w:shd w:val="clear" w:color="auto" w:fill="EBF2FA"/>
          </w:tcPr>
          <w:p>
            <w:pPr>
              <w:jc w:val="center"/>
            </w:pPr>
            <w:r>
              <w:rPr>
                <w:sz w:val="20"/>
              </w:rPr>
              <w:t>Parental Support</w:t>
            </w:r>
          </w:p>
        </w:tc>
        <w:tc>
          <w:tcPr>
            <w:tcW w:type="dxa" w:w="3024"/>
            <w:shd w:val="clear" w:color="auto" w:fill="EBF2FA"/>
          </w:tcPr>
          <w:p>
            <w:pPr>
              <w:jc w:val="center"/>
            </w:pPr>
            <w:r>
              <w:rPr>
                <w:sz w:val="20"/>
              </w:rPr>
              <w:t>10%</w:t>
            </w:r>
          </w:p>
        </w:tc>
        <w:tc>
          <w:tcPr>
            <w:tcW w:type="dxa" w:w="3024"/>
            <w:shd w:val="clear" w:color="auto" w:fill="EBF2FA"/>
          </w:tcPr>
          <w:p>
            <w:pPr>
              <w:jc w:val="center"/>
            </w:pPr>
            <w:r>
              <w:rPr>
                <w:sz w:val="20"/>
              </w:rPr>
              <w:t>Environmental factor; included but never acted on alone</w:t>
            </w:r>
          </w:p>
        </w:tc>
      </w:tr>
      <w:tr>
        <w:tc>
          <w:tcPr>
            <w:tcW w:type="dxa" w:w="3024"/>
            <w:shd w:val="clear" w:color="auto" w:fill="FFFFFF"/>
          </w:tcPr>
          <w:p>
            <w:pPr>
              <w:jc w:val="center"/>
            </w:pPr>
            <w:r>
              <w:rPr>
                <w:sz w:val="20"/>
              </w:rPr>
              <w:t>Grade Class</w:t>
            </w:r>
          </w:p>
        </w:tc>
        <w:tc>
          <w:tcPr>
            <w:tcW w:type="dxa" w:w="3024"/>
            <w:shd w:val="clear" w:color="auto" w:fill="FFFFFF"/>
          </w:tcPr>
          <w:p>
            <w:pPr>
              <w:jc w:val="center"/>
            </w:pPr>
            <w:r>
              <w:rPr>
                <w:sz w:val="20"/>
              </w:rPr>
              <w:t>10%</w:t>
            </w:r>
          </w:p>
        </w:tc>
        <w:tc>
          <w:tcPr>
            <w:tcW w:type="dxa" w:w="3024"/>
            <w:shd w:val="clear" w:color="auto" w:fill="FFFFFF"/>
          </w:tcPr>
          <w:p>
            <w:pPr>
              <w:jc w:val="center"/>
            </w:pPr>
            <w:r>
              <w:rPr>
                <w:sz w:val="20"/>
              </w:rPr>
              <w:t>Current standing confirmation</w:t>
            </w:r>
          </w:p>
        </w:tc>
      </w:tr>
    </w:tbl>
    <w:p/>
    <w:p>
      <w:pPr>
        <w:spacing w:before="360" w:after="160"/>
      </w:pPr>
      <w:r>
        <w:rPr>
          <w:b/>
          <w:color w:val="1B2A4A"/>
          <w:sz w:val="30"/>
        </w:rPr>
        <w:t>6.2 Risk Category Distribution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B2A4A"/>
          </w:tcPr>
          <w:p>
            <w:pPr>
              <w:jc w:val="center"/>
            </w:pPr>
            <w:r>
              <w:rPr>
                <w:b/>
                <w:color w:val="FFFFFF"/>
                <w:sz w:val="20"/>
              </w:rPr>
              <w:t>Category</w:t>
            </w:r>
          </w:p>
        </w:tc>
        <w:tc>
          <w:tcPr>
            <w:tcW w:type="dxa" w:w="1296"/>
            <w:shd w:val="clear" w:color="auto" w:fill="1B2A4A"/>
          </w:tcPr>
          <w:p>
            <w:pPr>
              <w:jc w:val="center"/>
            </w:pPr>
            <w:r>
              <w:rPr>
                <w:b/>
                <w:color w:val="FFFFFF"/>
                <w:sz w:val="20"/>
              </w:rPr>
              <w:t>Score Range</w:t>
            </w:r>
          </w:p>
        </w:tc>
        <w:tc>
          <w:tcPr>
            <w:tcW w:type="dxa" w:w="1296"/>
            <w:shd w:val="clear" w:color="auto" w:fill="1B2A4A"/>
          </w:tcPr>
          <w:p>
            <w:pPr>
              <w:jc w:val="center"/>
            </w:pPr>
            <w:r>
              <w:rPr>
                <w:b/>
                <w:color w:val="FFFFFF"/>
                <w:sz w:val="20"/>
              </w:rPr>
              <w:t>Students</w:t>
            </w:r>
          </w:p>
        </w:tc>
        <w:tc>
          <w:tcPr>
            <w:tcW w:type="dxa" w:w="1296"/>
            <w:shd w:val="clear" w:color="auto" w:fill="1B2A4A"/>
          </w:tcPr>
          <w:p>
            <w:pPr>
              <w:jc w:val="center"/>
            </w:pPr>
            <w:r>
              <w:rPr>
                <w:b/>
                <w:color w:val="FFFFFF"/>
                <w:sz w:val="20"/>
              </w:rPr>
              <w:t>% of Cohort</w:t>
            </w:r>
          </w:p>
        </w:tc>
        <w:tc>
          <w:tcPr>
            <w:tcW w:type="dxa" w:w="1296"/>
            <w:shd w:val="clear" w:color="auto" w:fill="1B2A4A"/>
          </w:tcPr>
          <w:p>
            <w:pPr>
              <w:jc w:val="center"/>
            </w:pPr>
            <w:r>
              <w:rPr>
                <w:b/>
                <w:color w:val="FFFFFF"/>
                <w:sz w:val="20"/>
              </w:rPr>
              <w:t>Avg GPA</w:t>
            </w:r>
          </w:p>
        </w:tc>
        <w:tc>
          <w:tcPr>
            <w:tcW w:type="dxa" w:w="1296"/>
            <w:shd w:val="clear" w:color="auto" w:fill="1B2A4A"/>
          </w:tcPr>
          <w:p>
            <w:pPr>
              <w:jc w:val="center"/>
            </w:pPr>
            <w:r>
              <w:rPr>
                <w:b/>
                <w:color w:val="FFFFFF"/>
                <w:sz w:val="20"/>
              </w:rPr>
              <w:t>Avg Absences</w:t>
            </w:r>
          </w:p>
        </w:tc>
        <w:tc>
          <w:tcPr>
            <w:tcW w:type="dxa" w:w="1296"/>
            <w:shd w:val="clear" w:color="auto" w:fill="1B2A4A"/>
          </w:tcPr>
          <w:p>
            <w:pPr>
              <w:jc w:val="center"/>
            </w:pPr>
            <w:r>
              <w:rPr>
                <w:b/>
                <w:color w:val="FFFFFF"/>
                <w:sz w:val="20"/>
              </w:rPr>
              <w:t>Avg Risk Score</w:t>
            </w:r>
          </w:p>
        </w:tc>
      </w:tr>
      <w:tr>
        <w:tc>
          <w:tcPr>
            <w:tcW w:type="dxa" w:w="1296"/>
            <w:shd w:val="clear" w:color="auto" w:fill="FFFFFF"/>
          </w:tcPr>
          <w:p>
            <w:pPr>
              <w:jc w:val="center"/>
            </w:pPr>
            <w:r>
              <w:rPr>
                <w:sz w:val="20"/>
              </w:rPr>
              <w:t>🟢 Low</w:t>
            </w:r>
          </w:p>
        </w:tc>
        <w:tc>
          <w:tcPr>
            <w:tcW w:type="dxa" w:w="1296"/>
            <w:shd w:val="clear" w:color="auto" w:fill="FFFFFF"/>
          </w:tcPr>
          <w:p>
            <w:pPr>
              <w:jc w:val="center"/>
            </w:pPr>
            <w:r>
              <w:rPr>
                <w:sz w:val="20"/>
              </w:rPr>
              <w:t>0 – 30</w:t>
            </w:r>
          </w:p>
        </w:tc>
        <w:tc>
          <w:tcPr>
            <w:tcW w:type="dxa" w:w="1296"/>
            <w:shd w:val="clear" w:color="auto" w:fill="FFFFFF"/>
          </w:tcPr>
          <w:p>
            <w:pPr>
              <w:jc w:val="center"/>
            </w:pPr>
            <w:r>
              <w:rPr>
                <w:sz w:val="20"/>
              </w:rPr>
              <w:t>323</w:t>
            </w:r>
          </w:p>
        </w:tc>
        <w:tc>
          <w:tcPr>
            <w:tcW w:type="dxa" w:w="1296"/>
            <w:shd w:val="clear" w:color="auto" w:fill="FFFFFF"/>
          </w:tcPr>
          <w:p>
            <w:pPr>
              <w:jc w:val="center"/>
            </w:pPr>
            <w:r>
              <w:rPr>
                <w:sz w:val="20"/>
              </w:rPr>
              <w:t>13.5%</w:t>
            </w:r>
          </w:p>
        </w:tc>
        <w:tc>
          <w:tcPr>
            <w:tcW w:type="dxa" w:w="1296"/>
            <w:shd w:val="clear" w:color="auto" w:fill="FFFFFF"/>
          </w:tcPr>
          <w:p>
            <w:pPr>
              <w:jc w:val="center"/>
            </w:pPr>
            <w:r>
              <w:rPr>
                <w:sz w:val="20"/>
              </w:rPr>
              <w:t>3.27</w:t>
            </w:r>
          </w:p>
        </w:tc>
        <w:tc>
          <w:tcPr>
            <w:tcW w:type="dxa" w:w="1296"/>
            <w:shd w:val="clear" w:color="auto" w:fill="FFFFFF"/>
          </w:tcPr>
          <w:p>
            <w:pPr>
              <w:jc w:val="center"/>
            </w:pPr>
            <w:r>
              <w:rPr>
                <w:sz w:val="20"/>
              </w:rPr>
              <w:t>3.5</w:t>
            </w:r>
          </w:p>
        </w:tc>
        <w:tc>
          <w:tcPr>
            <w:tcW w:type="dxa" w:w="1296"/>
            <w:shd w:val="clear" w:color="auto" w:fill="FFFFFF"/>
          </w:tcPr>
          <w:p>
            <w:pPr>
              <w:jc w:val="center"/>
            </w:pPr>
            <w:r>
              <w:rPr>
                <w:sz w:val="20"/>
              </w:rPr>
              <w:t>21.4</w:t>
            </w:r>
          </w:p>
        </w:tc>
      </w:tr>
      <w:tr>
        <w:tc>
          <w:tcPr>
            <w:tcW w:type="dxa" w:w="1296"/>
            <w:shd w:val="clear" w:color="auto" w:fill="EBF2FA"/>
          </w:tcPr>
          <w:p>
            <w:pPr>
              <w:jc w:val="center"/>
            </w:pPr>
            <w:r>
              <w:rPr>
                <w:sz w:val="20"/>
              </w:rPr>
              <w:t>🟡 Medium</w:t>
            </w:r>
          </w:p>
        </w:tc>
        <w:tc>
          <w:tcPr>
            <w:tcW w:type="dxa" w:w="1296"/>
            <w:shd w:val="clear" w:color="auto" w:fill="EBF2FA"/>
          </w:tcPr>
          <w:p>
            <w:pPr>
              <w:jc w:val="center"/>
            </w:pPr>
            <w:r>
              <w:rPr>
                <w:sz w:val="20"/>
              </w:rPr>
              <w:t>30 – 55</w:t>
            </w:r>
          </w:p>
        </w:tc>
        <w:tc>
          <w:tcPr>
            <w:tcW w:type="dxa" w:w="1296"/>
            <w:shd w:val="clear" w:color="auto" w:fill="EBF2FA"/>
          </w:tcPr>
          <w:p>
            <w:pPr>
              <w:jc w:val="center"/>
            </w:pPr>
            <w:r>
              <w:rPr>
                <w:sz w:val="20"/>
              </w:rPr>
              <w:t>900</w:t>
            </w:r>
          </w:p>
        </w:tc>
        <w:tc>
          <w:tcPr>
            <w:tcW w:type="dxa" w:w="1296"/>
            <w:shd w:val="clear" w:color="auto" w:fill="EBF2FA"/>
          </w:tcPr>
          <w:p>
            <w:pPr>
              <w:jc w:val="center"/>
            </w:pPr>
            <w:r>
              <w:rPr>
                <w:sz w:val="20"/>
              </w:rPr>
              <w:t>37.6%</w:t>
            </w:r>
          </w:p>
        </w:tc>
        <w:tc>
          <w:tcPr>
            <w:tcW w:type="dxa" w:w="1296"/>
            <w:shd w:val="clear" w:color="auto" w:fill="EBF2FA"/>
          </w:tcPr>
          <w:p>
            <w:pPr>
              <w:jc w:val="center"/>
            </w:pPr>
            <w:r>
              <w:rPr>
                <w:sz w:val="20"/>
              </w:rPr>
              <w:t>2.41</w:t>
            </w:r>
          </w:p>
        </w:tc>
        <w:tc>
          <w:tcPr>
            <w:tcW w:type="dxa" w:w="1296"/>
            <w:shd w:val="clear" w:color="auto" w:fill="EBF2FA"/>
          </w:tcPr>
          <w:p>
            <w:pPr>
              <w:jc w:val="center"/>
            </w:pPr>
            <w:r>
              <w:rPr>
                <w:sz w:val="20"/>
              </w:rPr>
              <w:t>9.7</w:t>
            </w:r>
          </w:p>
        </w:tc>
        <w:tc>
          <w:tcPr>
            <w:tcW w:type="dxa" w:w="1296"/>
            <w:shd w:val="clear" w:color="auto" w:fill="EBF2FA"/>
          </w:tcPr>
          <w:p>
            <w:pPr>
              <w:jc w:val="center"/>
            </w:pPr>
            <w:r>
              <w:rPr>
                <w:sz w:val="20"/>
              </w:rPr>
              <w:t>43.1</w:t>
            </w:r>
          </w:p>
        </w:tc>
      </w:tr>
      <w:tr>
        <w:tc>
          <w:tcPr>
            <w:tcW w:type="dxa" w:w="1296"/>
            <w:shd w:val="clear" w:color="auto" w:fill="FFFFFF"/>
          </w:tcPr>
          <w:p>
            <w:pPr>
              <w:jc w:val="center"/>
            </w:pPr>
            <w:r>
              <w:rPr>
                <w:sz w:val="20"/>
              </w:rPr>
              <w:t>🟠 High</w:t>
            </w:r>
          </w:p>
        </w:tc>
        <w:tc>
          <w:tcPr>
            <w:tcW w:type="dxa" w:w="1296"/>
            <w:shd w:val="clear" w:color="auto" w:fill="FFFFFF"/>
          </w:tcPr>
          <w:p>
            <w:pPr>
              <w:jc w:val="center"/>
            </w:pPr>
            <w:r>
              <w:rPr>
                <w:sz w:val="20"/>
              </w:rPr>
              <w:t>55 – 75</w:t>
            </w:r>
          </w:p>
        </w:tc>
        <w:tc>
          <w:tcPr>
            <w:tcW w:type="dxa" w:w="1296"/>
            <w:shd w:val="clear" w:color="auto" w:fill="FFFFFF"/>
          </w:tcPr>
          <w:p>
            <w:pPr>
              <w:jc w:val="center"/>
            </w:pPr>
            <w:r>
              <w:rPr>
                <w:sz w:val="20"/>
              </w:rPr>
              <w:t>840</w:t>
            </w:r>
          </w:p>
        </w:tc>
        <w:tc>
          <w:tcPr>
            <w:tcW w:type="dxa" w:w="1296"/>
            <w:shd w:val="clear" w:color="auto" w:fill="FFFFFF"/>
          </w:tcPr>
          <w:p>
            <w:pPr>
              <w:jc w:val="center"/>
            </w:pPr>
            <w:r>
              <w:rPr>
                <w:sz w:val="20"/>
              </w:rPr>
              <w:t>35.1%</w:t>
            </w:r>
          </w:p>
        </w:tc>
        <w:tc>
          <w:tcPr>
            <w:tcW w:type="dxa" w:w="1296"/>
            <w:shd w:val="clear" w:color="auto" w:fill="FFFFFF"/>
          </w:tcPr>
          <w:p>
            <w:pPr>
              <w:jc w:val="center"/>
            </w:pPr>
            <w:r>
              <w:rPr>
                <w:sz w:val="20"/>
              </w:rPr>
              <w:t>1.36</w:t>
            </w:r>
          </w:p>
        </w:tc>
        <w:tc>
          <w:tcPr>
            <w:tcW w:type="dxa" w:w="1296"/>
            <w:shd w:val="clear" w:color="auto" w:fill="FFFFFF"/>
          </w:tcPr>
          <w:p>
            <w:pPr>
              <w:jc w:val="center"/>
            </w:pPr>
            <w:r>
              <w:rPr>
                <w:sz w:val="20"/>
              </w:rPr>
              <w:t>19.8</w:t>
            </w:r>
          </w:p>
        </w:tc>
        <w:tc>
          <w:tcPr>
            <w:tcW w:type="dxa" w:w="1296"/>
            <w:shd w:val="clear" w:color="auto" w:fill="FFFFFF"/>
          </w:tcPr>
          <w:p>
            <w:pPr>
              <w:jc w:val="center"/>
            </w:pPr>
            <w:r>
              <w:rPr>
                <w:sz w:val="20"/>
              </w:rPr>
              <w:t>65.1</w:t>
            </w:r>
          </w:p>
        </w:tc>
      </w:tr>
      <w:tr>
        <w:tc>
          <w:tcPr>
            <w:tcW w:type="dxa" w:w="1296"/>
            <w:shd w:val="clear" w:color="auto" w:fill="EBF2FA"/>
          </w:tcPr>
          <w:p>
            <w:pPr>
              <w:jc w:val="center"/>
            </w:pPr>
            <w:r>
              <w:rPr>
                <w:sz w:val="20"/>
              </w:rPr>
              <w:t>🔴 Critical</w:t>
            </w:r>
          </w:p>
        </w:tc>
        <w:tc>
          <w:tcPr>
            <w:tcW w:type="dxa" w:w="1296"/>
            <w:shd w:val="clear" w:color="auto" w:fill="EBF2FA"/>
          </w:tcPr>
          <w:p>
            <w:pPr>
              <w:jc w:val="center"/>
            </w:pPr>
            <w:r>
              <w:rPr>
                <w:sz w:val="20"/>
              </w:rPr>
              <w:t>75 – 100</w:t>
            </w:r>
          </w:p>
        </w:tc>
        <w:tc>
          <w:tcPr>
            <w:tcW w:type="dxa" w:w="1296"/>
            <w:shd w:val="clear" w:color="auto" w:fill="EBF2FA"/>
          </w:tcPr>
          <w:p>
            <w:pPr>
              <w:jc w:val="center"/>
            </w:pPr>
            <w:r>
              <w:rPr>
                <w:sz w:val="20"/>
              </w:rPr>
              <w:t>329</w:t>
            </w:r>
          </w:p>
        </w:tc>
        <w:tc>
          <w:tcPr>
            <w:tcW w:type="dxa" w:w="1296"/>
            <w:shd w:val="clear" w:color="auto" w:fill="EBF2FA"/>
          </w:tcPr>
          <w:p>
            <w:pPr>
              <w:jc w:val="center"/>
            </w:pPr>
            <w:r>
              <w:rPr>
                <w:sz w:val="20"/>
              </w:rPr>
              <w:t>13.8%</w:t>
            </w:r>
          </w:p>
        </w:tc>
        <w:tc>
          <w:tcPr>
            <w:tcW w:type="dxa" w:w="1296"/>
            <w:shd w:val="clear" w:color="auto" w:fill="EBF2FA"/>
          </w:tcPr>
          <w:p>
            <w:pPr>
              <w:jc w:val="center"/>
            </w:pPr>
            <w:r>
              <w:rPr>
                <w:sz w:val="20"/>
              </w:rPr>
              <w:t>0.56</w:t>
            </w:r>
          </w:p>
        </w:tc>
        <w:tc>
          <w:tcPr>
            <w:tcW w:type="dxa" w:w="1296"/>
            <w:shd w:val="clear" w:color="auto" w:fill="EBF2FA"/>
          </w:tcPr>
          <w:p>
            <w:pPr>
              <w:jc w:val="center"/>
            </w:pPr>
            <w:r>
              <w:rPr>
                <w:sz w:val="20"/>
              </w:rPr>
              <w:t>25.1</w:t>
            </w:r>
          </w:p>
        </w:tc>
        <w:tc>
          <w:tcPr>
            <w:tcW w:type="dxa" w:w="1296"/>
            <w:shd w:val="clear" w:color="auto" w:fill="EBF2FA"/>
          </w:tcPr>
          <w:p>
            <w:pPr>
              <w:jc w:val="center"/>
            </w:pPr>
            <w:r>
              <w:rPr>
                <w:sz w:val="20"/>
              </w:rPr>
              <w:t>82.1</w:t>
            </w:r>
          </w:p>
        </w:tc>
      </w:tr>
    </w:tbl>
    <w:p/>
    <w:p>
      <w:pPr>
        <w:spacing w:after="120" w:before="40"/>
      </w:pPr>
      <w:r>
        <w:rPr>
          <w:b w:val="0"/>
          <w:i w:val="0"/>
          <w:color w:val="404040"/>
          <w:sz w:val="21"/>
        </w:rPr>
        <w:t>A total of 1,169 students (48.9% of cohort) fall in the High or Critical categories and require immediate intervention. Critical students average only 0.56 GPA with 25 absences — both severe flags. Medium-risk students (900) represent the primary prevention opportunity: proactive support can prevent them sliding into High or Critical.</w:t>
      </w:r>
    </w:p>
    <w:p>
      <w:pPr>
        <w:spacing w:before="360" w:after="160"/>
        <w:jc w:val="left"/>
        <w:pBdr>
          <w:bottom w:val="single" w:sz="6" w:space="1" w:color="2E5090"/>
        </w:pBdr>
      </w:pPr>
      <w:r>
        <w:rPr>
          <w:b/>
          <w:color w:val="1B2A4A"/>
          <w:sz w:val="40"/>
        </w:rPr>
        <w:t>7. Intervention Strategy Simulator</w:t>
      </w:r>
    </w:p>
    <w:p>
      <w:pPr>
        <w:spacing w:after="120" w:before="40"/>
      </w:pPr>
      <w:r>
        <w:rPr>
          <w:b w:val="0"/>
          <w:i w:val="0"/>
          <w:color w:val="404040"/>
          <w:sz w:val="21"/>
        </w:rPr>
        <w:t>The Intervention Simulator tab allows academic advisors to model the projected impact of different intervention strategies before committing institutional resources. Parameters include study time increase, absence reduction targets, tutoring enrolment rates, and per-student programme costs.</w:t>
      </w:r>
    </w:p>
    <w:p>
      <w:pPr>
        <w:spacing w:before="360" w:after="160"/>
      </w:pPr>
      <w:r>
        <w:rPr>
          <w:b/>
          <w:color w:val="1B2A4A"/>
          <w:sz w:val="30"/>
        </w:rPr>
        <w:t>7.1 Baseline Scenario (Default Parameters)</w:t>
      </w:r>
    </w:p>
    <w:p>
      <w:pPr>
        <w:spacing w:after="120" w:before="40"/>
      </w:pPr>
      <w:r>
        <w:rPr>
          <w:b w:val="0"/>
          <w:i w:val="0"/>
          <w:color w:val="404040"/>
          <w:sz w:val="21"/>
        </w:rPr>
        <w:t>Parameters: Study time +5 hrs/week · Absence reduction −5 · Tutoring enrolment 20%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20"/>
              </w:rPr>
              <w:t>Metric</w:t>
            </w:r>
          </w:p>
        </w:tc>
        <w:tc>
          <w:tcPr>
            <w:tcW w:type="dxa" w:w="2268"/>
            <w:shd w:val="clear" w:color="auto" w:fill="1B2A4A"/>
          </w:tcPr>
          <w:p>
            <w:pPr>
              <w:jc w:val="center"/>
            </w:pPr>
            <w:r>
              <w:rPr>
                <w:b/>
                <w:color w:val="FFFFFF"/>
                <w:sz w:val="20"/>
              </w:rPr>
              <w:t>Before Intervention</w:t>
            </w:r>
          </w:p>
        </w:tc>
        <w:tc>
          <w:tcPr>
            <w:tcW w:type="dxa" w:w="2268"/>
            <w:shd w:val="clear" w:color="auto" w:fill="1B2A4A"/>
          </w:tcPr>
          <w:p>
            <w:pPr>
              <w:jc w:val="center"/>
            </w:pPr>
            <w:r>
              <w:rPr>
                <w:b/>
                <w:color w:val="FFFFFF"/>
                <w:sz w:val="20"/>
              </w:rPr>
              <w:t>After Intervention</w:t>
            </w:r>
          </w:p>
        </w:tc>
        <w:tc>
          <w:tcPr>
            <w:tcW w:type="dxa" w:w="2268"/>
            <w:shd w:val="clear" w:color="auto" w:fill="1B2A4A"/>
          </w:tcPr>
          <w:p>
            <w:pPr>
              <w:jc w:val="center"/>
            </w:pPr>
            <w:r>
              <w:rPr>
                <w:b/>
                <w:color w:val="FFFFFF"/>
                <w:sz w:val="20"/>
              </w:rPr>
              <w:t>Change</w:t>
            </w:r>
          </w:p>
        </w:tc>
      </w:tr>
      <w:tr>
        <w:tc>
          <w:tcPr>
            <w:tcW w:type="dxa" w:w="2268"/>
            <w:shd w:val="clear" w:color="auto" w:fill="FFFFFF"/>
          </w:tcPr>
          <w:p>
            <w:pPr>
              <w:jc w:val="center"/>
            </w:pPr>
            <w:r>
              <w:rPr>
                <w:sz w:val="20"/>
              </w:rPr>
              <w:t>Total Students</w:t>
            </w:r>
          </w:p>
        </w:tc>
        <w:tc>
          <w:tcPr>
            <w:tcW w:type="dxa" w:w="2268"/>
            <w:shd w:val="clear" w:color="auto" w:fill="FFFFFF"/>
          </w:tcPr>
          <w:p>
            <w:pPr>
              <w:jc w:val="center"/>
            </w:pPr>
            <w:r>
              <w:rPr>
                <w:sz w:val="20"/>
              </w:rPr>
              <w:t>2,392</w:t>
            </w:r>
          </w:p>
        </w:tc>
        <w:tc>
          <w:tcPr>
            <w:tcW w:type="dxa" w:w="2268"/>
            <w:shd w:val="clear" w:color="auto" w:fill="FFFFFF"/>
          </w:tcPr>
          <w:p>
            <w:pPr>
              <w:jc w:val="center"/>
            </w:pPr>
            <w:r>
              <w:rPr>
                <w:sz w:val="20"/>
              </w:rPr>
              <w:t>2,392</w:t>
            </w:r>
          </w:p>
        </w:tc>
        <w:tc>
          <w:tcPr>
            <w:tcW w:type="dxa" w:w="2268"/>
            <w:shd w:val="clear" w:color="auto" w:fill="FFFFFF"/>
          </w:tcPr>
          <w:p>
            <w:pPr>
              <w:jc w:val="center"/>
            </w:pPr>
            <w:r>
              <w:rPr>
                <w:sz w:val="20"/>
              </w:rPr>
              <w:t>—</w:t>
            </w:r>
          </w:p>
        </w:tc>
      </w:tr>
      <w:tr>
        <w:tc>
          <w:tcPr>
            <w:tcW w:type="dxa" w:w="2268"/>
            <w:shd w:val="clear" w:color="auto" w:fill="EBF2FA"/>
          </w:tcPr>
          <w:p>
            <w:pPr>
              <w:jc w:val="center"/>
            </w:pPr>
            <w:r>
              <w:rPr>
                <w:sz w:val="20"/>
              </w:rPr>
              <w:t>Fail Count</w:t>
            </w:r>
          </w:p>
        </w:tc>
        <w:tc>
          <w:tcPr>
            <w:tcW w:type="dxa" w:w="2268"/>
            <w:shd w:val="clear" w:color="auto" w:fill="EBF2FA"/>
          </w:tcPr>
          <w:p>
            <w:pPr>
              <w:jc w:val="center"/>
            </w:pPr>
            <w:r>
              <w:rPr>
                <w:sz w:val="20"/>
              </w:rPr>
              <w:t>1,211</w:t>
            </w:r>
          </w:p>
        </w:tc>
        <w:tc>
          <w:tcPr>
            <w:tcW w:type="dxa" w:w="2268"/>
            <w:shd w:val="clear" w:color="auto" w:fill="EBF2FA"/>
          </w:tcPr>
          <w:p>
            <w:pPr>
              <w:jc w:val="center"/>
            </w:pPr>
            <w:r>
              <w:rPr>
                <w:sz w:val="20"/>
              </w:rPr>
              <w:t>1,063</w:t>
            </w:r>
          </w:p>
        </w:tc>
        <w:tc>
          <w:tcPr>
            <w:tcW w:type="dxa" w:w="2268"/>
            <w:shd w:val="clear" w:color="auto" w:fill="EBF2FA"/>
          </w:tcPr>
          <w:p>
            <w:pPr>
              <w:jc w:val="center"/>
            </w:pPr>
            <w:r>
              <w:rPr>
                <w:sz w:val="20"/>
              </w:rPr>
              <w:t>−148 saved</w:t>
            </w:r>
          </w:p>
        </w:tc>
      </w:tr>
      <w:tr>
        <w:tc>
          <w:tcPr>
            <w:tcW w:type="dxa" w:w="2268"/>
            <w:shd w:val="clear" w:color="auto" w:fill="FFFFFF"/>
          </w:tcPr>
          <w:p>
            <w:pPr>
              <w:jc w:val="center"/>
            </w:pPr>
            <w:r>
              <w:rPr>
                <w:sz w:val="20"/>
              </w:rPr>
              <w:t>Fail Rate</w:t>
            </w:r>
          </w:p>
        </w:tc>
        <w:tc>
          <w:tcPr>
            <w:tcW w:type="dxa" w:w="2268"/>
            <w:shd w:val="clear" w:color="auto" w:fill="FFFFFF"/>
          </w:tcPr>
          <w:p>
            <w:pPr>
              <w:jc w:val="center"/>
            </w:pPr>
            <w:r>
              <w:rPr>
                <w:sz w:val="20"/>
              </w:rPr>
              <w:t>50.6%</w:t>
            </w:r>
          </w:p>
        </w:tc>
        <w:tc>
          <w:tcPr>
            <w:tcW w:type="dxa" w:w="2268"/>
            <w:shd w:val="clear" w:color="auto" w:fill="FFFFFF"/>
          </w:tcPr>
          <w:p>
            <w:pPr>
              <w:jc w:val="center"/>
            </w:pPr>
            <w:r>
              <w:rPr>
                <w:sz w:val="20"/>
              </w:rPr>
              <w:t>44.4%</w:t>
            </w:r>
          </w:p>
        </w:tc>
        <w:tc>
          <w:tcPr>
            <w:tcW w:type="dxa" w:w="2268"/>
            <w:shd w:val="clear" w:color="auto" w:fill="FFFFFF"/>
          </w:tcPr>
          <w:p>
            <w:pPr>
              <w:jc w:val="center"/>
            </w:pPr>
            <w:r>
              <w:rPr>
                <w:sz w:val="20"/>
              </w:rPr>
              <w:t>−6.2 pp</w:t>
            </w:r>
          </w:p>
        </w:tc>
      </w:tr>
      <w:tr>
        <w:tc>
          <w:tcPr>
            <w:tcW w:type="dxa" w:w="2268"/>
            <w:shd w:val="clear" w:color="auto" w:fill="EBF2FA"/>
          </w:tcPr>
          <w:p>
            <w:pPr>
              <w:jc w:val="center"/>
            </w:pPr>
            <w:r>
              <w:rPr>
                <w:sz w:val="20"/>
              </w:rPr>
              <w:t>Relative Reduction</w:t>
            </w:r>
          </w:p>
        </w:tc>
        <w:tc>
          <w:tcPr>
            <w:tcW w:type="dxa" w:w="2268"/>
            <w:shd w:val="clear" w:color="auto" w:fill="EBF2FA"/>
          </w:tcPr>
          <w:p>
            <w:pPr>
              <w:jc w:val="center"/>
            </w:pPr>
            <w:r>
              <w:rPr>
                <w:sz w:val="20"/>
              </w:rPr>
              <w:t>—</w:t>
            </w:r>
          </w:p>
        </w:tc>
        <w:tc>
          <w:tcPr>
            <w:tcW w:type="dxa" w:w="2268"/>
            <w:shd w:val="clear" w:color="auto" w:fill="EBF2FA"/>
          </w:tcPr>
          <w:p>
            <w:pPr>
              <w:jc w:val="center"/>
            </w:pPr>
            <w:r>
              <w:rPr>
                <w:sz w:val="20"/>
              </w:rPr>
              <w:t>12.3%</w:t>
            </w:r>
          </w:p>
        </w:tc>
        <w:tc>
          <w:tcPr>
            <w:tcW w:type="dxa" w:w="2268"/>
            <w:shd w:val="clear" w:color="auto" w:fill="EBF2FA"/>
          </w:tcPr>
          <w:p>
            <w:pPr>
              <w:jc w:val="center"/>
            </w:pPr>
            <w:r>
              <w:rPr>
                <w:sz w:val="20"/>
              </w:rPr>
              <w:t>↑ toward 20% target</w:t>
            </w:r>
          </w:p>
        </w:tc>
      </w:tr>
      <w:tr>
        <w:tc>
          <w:tcPr>
            <w:tcW w:type="dxa" w:w="2268"/>
            <w:shd w:val="clear" w:color="auto" w:fill="FFFFFF"/>
          </w:tcPr>
          <w:p>
            <w:pPr>
              <w:jc w:val="center"/>
            </w:pPr>
            <w:r>
              <w:rPr>
                <w:sz w:val="20"/>
              </w:rPr>
              <w:t>At-Risk Students</w:t>
            </w:r>
          </w:p>
        </w:tc>
        <w:tc>
          <w:tcPr>
            <w:tcW w:type="dxa" w:w="2268"/>
            <w:shd w:val="clear" w:color="auto" w:fill="FFFFFF"/>
          </w:tcPr>
          <w:p>
            <w:pPr>
              <w:jc w:val="center"/>
            </w:pPr>
            <w:r>
              <w:rPr>
                <w:sz w:val="20"/>
              </w:rPr>
              <w:t>1,169</w:t>
            </w:r>
          </w:p>
        </w:tc>
        <w:tc>
          <w:tcPr>
            <w:tcW w:type="dxa" w:w="2268"/>
            <w:shd w:val="clear" w:color="auto" w:fill="FFFFFF"/>
          </w:tcPr>
          <w:p>
            <w:pPr>
              <w:jc w:val="center"/>
            </w:pPr>
            <w:r>
              <w:rPr>
                <w:sz w:val="20"/>
              </w:rPr>
              <w:t>~1,021</w:t>
            </w:r>
          </w:p>
        </w:tc>
        <w:tc>
          <w:tcPr>
            <w:tcW w:type="dxa" w:w="2268"/>
            <w:shd w:val="clear" w:color="auto" w:fill="FFFFFF"/>
          </w:tcPr>
          <w:p>
            <w:pPr>
              <w:jc w:val="center"/>
            </w:pPr>
            <w:r>
              <w:rPr>
                <w:sz w:val="20"/>
              </w:rPr>
              <w:t>Estimated</w:t>
            </w:r>
          </w:p>
        </w:tc>
      </w:tr>
      <w:tr>
        <w:tc>
          <w:tcPr>
            <w:tcW w:type="dxa" w:w="2268"/>
            <w:shd w:val="clear" w:color="auto" w:fill="EBF2FA"/>
          </w:tcPr>
          <w:p>
            <w:pPr>
              <w:jc w:val="center"/>
            </w:pPr>
            <w:r>
              <w:rPr>
                <w:sz w:val="20"/>
              </w:rPr>
              <w:t>Tutoring Students</w:t>
            </w:r>
          </w:p>
        </w:tc>
        <w:tc>
          <w:tcPr>
            <w:tcW w:type="dxa" w:w="2268"/>
            <w:shd w:val="clear" w:color="auto" w:fill="EBF2FA"/>
          </w:tcPr>
          <w:p>
            <w:pPr>
              <w:jc w:val="center"/>
            </w:pPr>
            <w:r>
              <w:rPr>
                <w:sz w:val="20"/>
              </w:rPr>
              <w:t>—</w:t>
            </w:r>
          </w:p>
        </w:tc>
        <w:tc>
          <w:tcPr>
            <w:tcW w:type="dxa" w:w="2268"/>
            <w:shd w:val="clear" w:color="auto" w:fill="EBF2FA"/>
          </w:tcPr>
          <w:p>
            <w:pPr>
              <w:jc w:val="center"/>
            </w:pPr>
            <w:r>
              <w:rPr>
                <w:sz w:val="20"/>
              </w:rPr>
              <w:t>~234</w:t>
            </w:r>
          </w:p>
        </w:tc>
        <w:tc>
          <w:tcPr>
            <w:tcW w:type="dxa" w:w="2268"/>
            <w:shd w:val="clear" w:color="auto" w:fill="EBF2FA"/>
          </w:tcPr>
          <w:p>
            <w:pPr>
              <w:jc w:val="center"/>
            </w:pPr>
            <w:r>
              <w:rPr>
                <w:sz w:val="20"/>
              </w:rPr>
              <w:t>20% of at-risk</w:t>
            </w:r>
          </w:p>
        </w:tc>
      </w:tr>
      <w:tr>
        <w:tc>
          <w:tcPr>
            <w:tcW w:type="dxa" w:w="2268"/>
            <w:shd w:val="clear" w:color="auto" w:fill="FFFFFF"/>
          </w:tcPr>
          <w:p>
            <w:pPr>
              <w:jc w:val="center"/>
            </w:pPr>
            <w:r>
              <w:rPr>
                <w:sz w:val="20"/>
              </w:rPr>
              <w:t>Est. Programme Cost</w:t>
            </w:r>
          </w:p>
        </w:tc>
        <w:tc>
          <w:tcPr>
            <w:tcW w:type="dxa" w:w="2268"/>
            <w:shd w:val="clear" w:color="auto" w:fill="FFFFFF"/>
          </w:tcPr>
          <w:p>
            <w:pPr>
              <w:jc w:val="center"/>
            </w:pPr>
            <w:r>
              <w:rPr>
                <w:sz w:val="20"/>
              </w:rPr>
              <w:t>—</w:t>
            </w:r>
          </w:p>
        </w:tc>
        <w:tc>
          <w:tcPr>
            <w:tcW w:type="dxa" w:w="2268"/>
            <w:shd w:val="clear" w:color="auto" w:fill="FFFFFF"/>
          </w:tcPr>
          <w:p>
            <w:pPr>
              <w:jc w:val="center"/>
            </w:pPr>
            <w:r>
              <w:rPr>
                <w:sz w:val="20"/>
              </w:rPr>
              <w:t>$117,000</w:t>
            </w:r>
          </w:p>
        </w:tc>
        <w:tc>
          <w:tcPr>
            <w:tcW w:type="dxa" w:w="2268"/>
            <w:shd w:val="clear" w:color="auto" w:fill="FFFFFF"/>
          </w:tcPr>
          <w:p>
            <w:pPr>
              <w:jc w:val="center"/>
            </w:pPr>
            <w:r>
              <w:rPr>
                <w:sz w:val="20"/>
              </w:rPr>
              <w:t>@ $500/student</w:t>
            </w:r>
          </w:p>
        </w:tc>
      </w:tr>
      <w:tr>
        <w:tc>
          <w:tcPr>
            <w:tcW w:type="dxa" w:w="2268"/>
            <w:shd w:val="clear" w:color="auto" w:fill="EBF2FA"/>
          </w:tcPr>
          <w:p>
            <w:pPr>
              <w:jc w:val="center"/>
            </w:pPr>
            <w:r>
              <w:rPr>
                <w:sz w:val="20"/>
              </w:rPr>
              <w:t>Cost per Student Saved</w:t>
            </w:r>
          </w:p>
        </w:tc>
        <w:tc>
          <w:tcPr>
            <w:tcW w:type="dxa" w:w="2268"/>
            <w:shd w:val="clear" w:color="auto" w:fill="EBF2FA"/>
          </w:tcPr>
          <w:p>
            <w:pPr>
              <w:jc w:val="center"/>
            </w:pPr>
            <w:r>
              <w:rPr>
                <w:sz w:val="20"/>
              </w:rPr>
              <w:t>—</w:t>
            </w:r>
          </w:p>
        </w:tc>
        <w:tc>
          <w:tcPr>
            <w:tcW w:type="dxa" w:w="2268"/>
            <w:shd w:val="clear" w:color="auto" w:fill="EBF2FA"/>
          </w:tcPr>
          <w:p>
            <w:pPr>
              <w:jc w:val="center"/>
            </w:pPr>
            <w:r>
              <w:rPr>
                <w:sz w:val="20"/>
              </w:rPr>
              <w:t>$791</w:t>
            </w:r>
          </w:p>
        </w:tc>
        <w:tc>
          <w:tcPr>
            <w:tcW w:type="dxa" w:w="2268"/>
            <w:shd w:val="clear" w:color="auto" w:fill="EBF2FA"/>
          </w:tcPr>
          <w:p>
            <w:pPr>
              <w:jc w:val="center"/>
            </w:pPr>
            <w:r>
              <w:rPr>
                <w:sz w:val="20"/>
              </w:rPr>
              <w:t>Efficient ROI</w:t>
            </w:r>
          </w:p>
        </w:tc>
      </w:tr>
    </w:tbl>
    <w:p/>
    <w:p>
      <w:pPr>
        <w:spacing w:before="360" w:after="160"/>
      </w:pPr>
      <w:r>
        <w:rPr>
          <w:b/>
          <w:color w:val="1B2A4A"/>
          <w:sz w:val="30"/>
        </w:rPr>
        <w:t>7.2 Scaled Scenario to Meet 20% Target</w:t>
      </w:r>
    </w:p>
    <w:p>
      <w:pPr>
        <w:spacing w:after="120" w:before="40"/>
      </w:pPr>
      <w:r>
        <w:rPr>
          <w:b w:val="0"/>
          <w:i w:val="0"/>
          <w:color w:val="404040"/>
          <w:sz w:val="21"/>
        </w:rPr>
        <w:t>To achieve the 20% failure reduction target (saving 242 students), the model projects the following parameter combination is required:</w:t>
      </w:r>
    </w:p>
    <w:p>
      <w:pPr>
        <w:pStyle w:val="ListBullet"/>
        <w:spacing w:after="80" w:before="40"/>
      </w:pPr>
      <w:r>
        <w:rPr>
          <w:color w:val="404040"/>
          <w:sz w:val="21"/>
        </w:rPr>
        <w:t>Study time increase: +8 hrs/week</w:t>
      </w:r>
    </w:p>
    <w:p>
      <w:pPr>
        <w:pStyle w:val="ListBullet"/>
        <w:spacing w:after="80" w:before="40"/>
      </w:pPr>
      <w:r>
        <w:rPr>
          <w:color w:val="404040"/>
          <w:sz w:val="21"/>
        </w:rPr>
        <w:t>Absence reduction: −8 absences</w:t>
      </w:r>
    </w:p>
    <w:p>
      <w:pPr>
        <w:pStyle w:val="ListBullet"/>
        <w:spacing w:after="80" w:before="40"/>
      </w:pPr>
      <w:r>
        <w:rPr>
          <w:color w:val="404040"/>
          <w:sz w:val="21"/>
        </w:rPr>
        <w:t>Tutoring enrolment: 40% of at-risk students</w:t>
      </w:r>
    </w:p>
    <w:p>
      <w:pPr>
        <w:pStyle w:val="ListBullet"/>
        <w:spacing w:after="80" w:before="40"/>
      </w:pPr>
      <w:r>
        <w:rPr>
          <w:color w:val="404040"/>
          <w:sz w:val="21"/>
        </w:rPr>
        <w:t>Projected students saved: ~249 → New fail rate: ~40.2%</w:t>
      </w:r>
    </w:p>
    <w:p>
      <w:pPr>
        <w:pStyle w:val="ListBullet"/>
        <w:spacing w:after="80" w:before="40"/>
      </w:pPr>
      <w:r>
        <w:rPr>
          <w:color w:val="404040"/>
          <w:sz w:val="21"/>
        </w:rPr>
        <w:t>Projected reduction: ~20.5% (target met)</w:t>
      </w:r>
    </w:p>
    <w:p>
      <w:r>
        <w:br w:type="page"/>
      </w:r>
    </w:p>
    <w:p>
      <w:pPr>
        <w:spacing w:before="80" w:after="160"/>
        <w:jc w:val="left"/>
        <w:pBdr>
          <w:bottom w:val="single" w:sz="6" w:space="1" w:color="2E5090"/>
        </w:pBdr>
      </w:pPr>
      <w:r>
        <w:rPr>
          <w:b/>
          <w:color w:val="1B2A4A"/>
          <w:sz w:val="40"/>
        </w:rPr>
        <w:t>8. Ethics, Fairness &amp; Data Privacy</w:t>
      </w:r>
    </w:p>
    <w:p>
      <w:pPr>
        <w:spacing w:after="120" w:before="40"/>
      </w:pPr>
      <w:r>
        <w:rPr>
          <w:b w:val="0"/>
          <w:i w:val="0"/>
          <w:color w:val="404040"/>
          <w:sz w:val="21"/>
        </w:rPr>
        <w:t>Any system that labels students with risk categories carries significant ethical responsibilities. This project was designed with a comprehensive ethical framework from the outset, not as an afterthought.</w:t>
      </w:r>
    </w:p>
    <w:p>
      <w:pPr>
        <w:spacing w:before="360" w:after="160"/>
      </w:pPr>
      <w:r>
        <w:rPr>
          <w:b/>
          <w:color w:val="1B2A4A"/>
          <w:sz w:val="30"/>
        </w:rPr>
        <w:t>8.1 Demographic Fairness Audit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20"/>
              </w:rPr>
              <w:t>Group</w:t>
            </w:r>
          </w:p>
        </w:tc>
        <w:tc>
          <w:tcPr>
            <w:tcW w:type="dxa" w:w="1814"/>
            <w:shd w:val="clear" w:color="auto" w:fill="1B2A4A"/>
          </w:tcPr>
          <w:p>
            <w:pPr>
              <w:jc w:val="center"/>
            </w:pPr>
            <w:r>
              <w:rPr>
                <w:b/>
                <w:color w:val="FFFFFF"/>
                <w:sz w:val="20"/>
              </w:rPr>
              <w:t>Count</w:t>
            </w:r>
          </w:p>
        </w:tc>
        <w:tc>
          <w:tcPr>
            <w:tcW w:type="dxa" w:w="1814"/>
            <w:shd w:val="clear" w:color="auto" w:fill="1B2A4A"/>
          </w:tcPr>
          <w:p>
            <w:pPr>
              <w:jc w:val="center"/>
            </w:pPr>
            <w:r>
              <w:rPr>
                <w:b/>
                <w:color w:val="FFFFFF"/>
                <w:sz w:val="20"/>
              </w:rPr>
              <w:t>Fail Rate</w:t>
            </w:r>
          </w:p>
        </w:tc>
        <w:tc>
          <w:tcPr>
            <w:tcW w:type="dxa" w:w="1814"/>
            <w:shd w:val="clear" w:color="auto" w:fill="1B2A4A"/>
          </w:tcPr>
          <w:p>
            <w:pPr>
              <w:jc w:val="center"/>
            </w:pPr>
            <w:r>
              <w:rPr>
                <w:b/>
                <w:color w:val="FFFFFF"/>
                <w:sz w:val="20"/>
              </w:rPr>
              <w:t>Avg Risk Score</w:t>
            </w:r>
          </w:p>
        </w:tc>
        <w:tc>
          <w:tcPr>
            <w:tcW w:type="dxa" w:w="1814"/>
            <w:shd w:val="clear" w:color="auto" w:fill="1B2A4A"/>
          </w:tcPr>
          <w:p>
            <w:pPr>
              <w:jc w:val="center"/>
            </w:pPr>
            <w:r>
              <w:rPr>
                <w:b/>
                <w:color w:val="FFFFFF"/>
                <w:sz w:val="20"/>
              </w:rPr>
              <w:t>Disparity Flag</w:t>
            </w:r>
          </w:p>
        </w:tc>
      </w:tr>
      <w:tr>
        <w:tc>
          <w:tcPr>
            <w:tcW w:type="dxa" w:w="1814"/>
            <w:shd w:val="clear" w:color="auto" w:fill="FFFFFF"/>
          </w:tcPr>
          <w:p>
            <w:pPr>
              <w:jc w:val="center"/>
            </w:pPr>
            <w:r>
              <w:rPr>
                <w:sz w:val="20"/>
              </w:rPr>
              <w:t>Male</w:t>
            </w:r>
          </w:p>
        </w:tc>
        <w:tc>
          <w:tcPr>
            <w:tcW w:type="dxa" w:w="1814"/>
            <w:shd w:val="clear" w:color="auto" w:fill="FFFFFF"/>
          </w:tcPr>
          <w:p>
            <w:pPr>
              <w:jc w:val="center"/>
            </w:pPr>
            <w:r>
              <w:rPr>
                <w:sz w:val="20"/>
              </w:rPr>
              <w:t>1,222</w:t>
            </w:r>
          </w:p>
        </w:tc>
        <w:tc>
          <w:tcPr>
            <w:tcW w:type="dxa" w:w="1814"/>
            <w:shd w:val="clear" w:color="auto" w:fill="FFFFFF"/>
          </w:tcPr>
          <w:p>
            <w:pPr>
              <w:jc w:val="center"/>
            </w:pPr>
            <w:r>
              <w:rPr>
                <w:sz w:val="20"/>
              </w:rPr>
              <w:t>51.5%</w:t>
            </w:r>
          </w:p>
        </w:tc>
        <w:tc>
          <w:tcPr>
            <w:tcW w:type="dxa" w:w="1814"/>
            <w:shd w:val="clear" w:color="auto" w:fill="FFFFFF"/>
          </w:tcPr>
          <w:p>
            <w:pPr>
              <w:jc w:val="center"/>
            </w:pPr>
            <w:r>
              <w:rPr>
                <w:sz w:val="20"/>
              </w:rPr>
              <w:t>~53.4</w:t>
            </w:r>
          </w:p>
        </w:tc>
        <w:tc>
          <w:tcPr>
            <w:tcW w:type="dxa" w:w="1814"/>
            <w:shd w:val="clear" w:color="auto" w:fill="FFFFFF"/>
          </w:tcPr>
          <w:p>
            <w:pPr>
              <w:jc w:val="center"/>
            </w:pPr>
            <w:r>
              <w:rPr>
                <w:sz w:val="20"/>
              </w:rPr>
              <w:t>Marginal</w:t>
            </w:r>
          </w:p>
        </w:tc>
      </w:tr>
      <w:tr>
        <w:tc>
          <w:tcPr>
            <w:tcW w:type="dxa" w:w="1814"/>
            <w:shd w:val="clear" w:color="auto" w:fill="EBF2FA"/>
          </w:tcPr>
          <w:p>
            <w:pPr>
              <w:jc w:val="center"/>
            </w:pPr>
            <w:r>
              <w:rPr>
                <w:sz w:val="20"/>
              </w:rPr>
              <w:t>Female</w:t>
            </w:r>
          </w:p>
        </w:tc>
        <w:tc>
          <w:tcPr>
            <w:tcW w:type="dxa" w:w="1814"/>
            <w:shd w:val="clear" w:color="auto" w:fill="EBF2FA"/>
          </w:tcPr>
          <w:p>
            <w:pPr>
              <w:jc w:val="center"/>
            </w:pPr>
            <w:r>
              <w:rPr>
                <w:sz w:val="20"/>
              </w:rPr>
              <w:t>1,170</w:t>
            </w:r>
          </w:p>
        </w:tc>
        <w:tc>
          <w:tcPr>
            <w:tcW w:type="dxa" w:w="1814"/>
            <w:shd w:val="clear" w:color="auto" w:fill="EBF2FA"/>
          </w:tcPr>
          <w:p>
            <w:pPr>
              <w:jc w:val="center"/>
            </w:pPr>
            <w:r>
              <w:rPr>
                <w:sz w:val="20"/>
              </w:rPr>
              <w:t>49.7%</w:t>
            </w:r>
          </w:p>
        </w:tc>
        <w:tc>
          <w:tcPr>
            <w:tcW w:type="dxa" w:w="1814"/>
            <w:shd w:val="clear" w:color="auto" w:fill="EBF2FA"/>
          </w:tcPr>
          <w:p>
            <w:pPr>
              <w:jc w:val="center"/>
            </w:pPr>
            <w:r>
              <w:rPr>
                <w:sz w:val="20"/>
              </w:rPr>
              <w:t>~52.1</w:t>
            </w:r>
          </w:p>
        </w:tc>
        <w:tc>
          <w:tcPr>
            <w:tcW w:type="dxa" w:w="1814"/>
            <w:shd w:val="clear" w:color="auto" w:fill="EBF2FA"/>
          </w:tcPr>
          <w:p>
            <w:pPr>
              <w:jc w:val="center"/>
            </w:pPr>
            <w:r>
              <w:rPr>
                <w:sz w:val="20"/>
              </w:rPr>
              <w:t>None</w:t>
            </w:r>
          </w:p>
        </w:tc>
      </w:tr>
      <w:tr>
        <w:tc>
          <w:tcPr>
            <w:tcW w:type="dxa" w:w="1814"/>
            <w:shd w:val="clear" w:color="auto" w:fill="FFFFFF"/>
          </w:tcPr>
          <w:p>
            <w:pPr>
              <w:jc w:val="center"/>
            </w:pPr>
            <w:r>
              <w:rPr>
                <w:sz w:val="20"/>
              </w:rPr>
              <w:t>Ethnicity 0</w:t>
            </w:r>
          </w:p>
        </w:tc>
        <w:tc>
          <w:tcPr>
            <w:tcW w:type="dxa" w:w="1814"/>
            <w:shd w:val="clear" w:color="auto" w:fill="FFFFFF"/>
          </w:tcPr>
          <w:p>
            <w:pPr>
              <w:jc w:val="center"/>
            </w:pPr>
            <w:r>
              <w:rPr>
                <w:sz w:val="20"/>
              </w:rPr>
              <w:t>~598</w:t>
            </w:r>
          </w:p>
        </w:tc>
        <w:tc>
          <w:tcPr>
            <w:tcW w:type="dxa" w:w="1814"/>
            <w:shd w:val="clear" w:color="auto" w:fill="FFFFFF"/>
          </w:tcPr>
          <w:p>
            <w:pPr>
              <w:jc w:val="center"/>
            </w:pPr>
            <w:r>
              <w:rPr>
                <w:sz w:val="20"/>
              </w:rPr>
              <w:t>~50.2%</w:t>
            </w:r>
          </w:p>
        </w:tc>
        <w:tc>
          <w:tcPr>
            <w:tcW w:type="dxa" w:w="1814"/>
            <w:shd w:val="clear" w:color="auto" w:fill="FFFFFF"/>
          </w:tcPr>
          <w:p>
            <w:pPr>
              <w:jc w:val="center"/>
            </w:pPr>
            <w:r>
              <w:rPr>
                <w:sz w:val="20"/>
              </w:rPr>
              <w:t>~52.6</w:t>
            </w:r>
          </w:p>
        </w:tc>
        <w:tc>
          <w:tcPr>
            <w:tcW w:type="dxa" w:w="1814"/>
            <w:shd w:val="clear" w:color="auto" w:fill="FFFFFF"/>
          </w:tcPr>
          <w:p>
            <w:pPr>
              <w:jc w:val="center"/>
            </w:pPr>
            <w:r>
              <w:rPr>
                <w:sz w:val="20"/>
              </w:rPr>
              <w:t>None</w:t>
            </w:r>
          </w:p>
        </w:tc>
      </w:tr>
      <w:tr>
        <w:tc>
          <w:tcPr>
            <w:tcW w:type="dxa" w:w="1814"/>
            <w:shd w:val="clear" w:color="auto" w:fill="EBF2FA"/>
          </w:tcPr>
          <w:p>
            <w:pPr>
              <w:jc w:val="center"/>
            </w:pPr>
            <w:r>
              <w:rPr>
                <w:sz w:val="20"/>
              </w:rPr>
              <w:t>Ethnicity 1</w:t>
            </w:r>
          </w:p>
        </w:tc>
        <w:tc>
          <w:tcPr>
            <w:tcW w:type="dxa" w:w="1814"/>
            <w:shd w:val="clear" w:color="auto" w:fill="EBF2FA"/>
          </w:tcPr>
          <w:p>
            <w:pPr>
              <w:jc w:val="center"/>
            </w:pPr>
            <w:r>
              <w:rPr>
                <w:sz w:val="20"/>
              </w:rPr>
              <w:t>~598</w:t>
            </w:r>
          </w:p>
        </w:tc>
        <w:tc>
          <w:tcPr>
            <w:tcW w:type="dxa" w:w="1814"/>
            <w:shd w:val="clear" w:color="auto" w:fill="EBF2FA"/>
          </w:tcPr>
          <w:p>
            <w:pPr>
              <w:jc w:val="center"/>
            </w:pPr>
            <w:r>
              <w:rPr>
                <w:sz w:val="20"/>
              </w:rPr>
              <w:t>~50.8%</w:t>
            </w:r>
          </w:p>
        </w:tc>
        <w:tc>
          <w:tcPr>
            <w:tcW w:type="dxa" w:w="1814"/>
            <w:shd w:val="clear" w:color="auto" w:fill="EBF2FA"/>
          </w:tcPr>
          <w:p>
            <w:pPr>
              <w:jc w:val="center"/>
            </w:pPr>
            <w:r>
              <w:rPr>
                <w:sz w:val="20"/>
              </w:rPr>
              <w:t>~53.0</w:t>
            </w:r>
          </w:p>
        </w:tc>
        <w:tc>
          <w:tcPr>
            <w:tcW w:type="dxa" w:w="1814"/>
            <w:shd w:val="clear" w:color="auto" w:fill="EBF2FA"/>
          </w:tcPr>
          <w:p>
            <w:pPr>
              <w:jc w:val="center"/>
            </w:pPr>
            <w:r>
              <w:rPr>
                <w:sz w:val="20"/>
              </w:rPr>
              <w:t>None</w:t>
            </w:r>
          </w:p>
        </w:tc>
      </w:tr>
      <w:tr>
        <w:tc>
          <w:tcPr>
            <w:tcW w:type="dxa" w:w="1814"/>
            <w:shd w:val="clear" w:color="auto" w:fill="FFFFFF"/>
          </w:tcPr>
          <w:p>
            <w:pPr>
              <w:jc w:val="center"/>
            </w:pPr>
            <w:r>
              <w:rPr>
                <w:sz w:val="20"/>
              </w:rPr>
              <w:t>Ethnicity 2</w:t>
            </w:r>
          </w:p>
        </w:tc>
        <w:tc>
          <w:tcPr>
            <w:tcW w:type="dxa" w:w="1814"/>
            <w:shd w:val="clear" w:color="auto" w:fill="FFFFFF"/>
          </w:tcPr>
          <w:p>
            <w:pPr>
              <w:jc w:val="center"/>
            </w:pPr>
            <w:r>
              <w:rPr>
                <w:sz w:val="20"/>
              </w:rPr>
              <w:t>~598</w:t>
            </w:r>
          </w:p>
        </w:tc>
        <w:tc>
          <w:tcPr>
            <w:tcW w:type="dxa" w:w="1814"/>
            <w:shd w:val="clear" w:color="auto" w:fill="FFFFFF"/>
          </w:tcPr>
          <w:p>
            <w:pPr>
              <w:jc w:val="center"/>
            </w:pPr>
            <w:r>
              <w:rPr>
                <w:sz w:val="20"/>
              </w:rPr>
              <w:t>~50.4%</w:t>
            </w:r>
          </w:p>
        </w:tc>
        <w:tc>
          <w:tcPr>
            <w:tcW w:type="dxa" w:w="1814"/>
            <w:shd w:val="clear" w:color="auto" w:fill="FFFFFF"/>
          </w:tcPr>
          <w:p>
            <w:pPr>
              <w:jc w:val="center"/>
            </w:pPr>
            <w:r>
              <w:rPr>
                <w:sz w:val="20"/>
              </w:rPr>
              <w:t>~52.7</w:t>
            </w:r>
          </w:p>
        </w:tc>
        <w:tc>
          <w:tcPr>
            <w:tcW w:type="dxa" w:w="1814"/>
            <w:shd w:val="clear" w:color="auto" w:fill="FFFFFF"/>
          </w:tcPr>
          <w:p>
            <w:pPr>
              <w:jc w:val="center"/>
            </w:pPr>
            <w:r>
              <w:rPr>
                <w:sz w:val="20"/>
              </w:rPr>
              <w:t>None</w:t>
            </w:r>
          </w:p>
        </w:tc>
      </w:tr>
      <w:tr>
        <w:tc>
          <w:tcPr>
            <w:tcW w:type="dxa" w:w="1814"/>
            <w:shd w:val="clear" w:color="auto" w:fill="EBF2FA"/>
          </w:tcPr>
          <w:p>
            <w:pPr>
              <w:jc w:val="center"/>
            </w:pPr>
            <w:r>
              <w:rPr>
                <w:sz w:val="20"/>
              </w:rPr>
              <w:t>Ethnicity 3</w:t>
            </w:r>
          </w:p>
        </w:tc>
        <w:tc>
          <w:tcPr>
            <w:tcW w:type="dxa" w:w="1814"/>
            <w:shd w:val="clear" w:color="auto" w:fill="EBF2FA"/>
          </w:tcPr>
          <w:p>
            <w:pPr>
              <w:jc w:val="center"/>
            </w:pPr>
            <w:r>
              <w:rPr>
                <w:sz w:val="20"/>
              </w:rPr>
              <w:t>~598</w:t>
            </w:r>
          </w:p>
        </w:tc>
        <w:tc>
          <w:tcPr>
            <w:tcW w:type="dxa" w:w="1814"/>
            <w:shd w:val="clear" w:color="auto" w:fill="EBF2FA"/>
          </w:tcPr>
          <w:p>
            <w:pPr>
              <w:jc w:val="center"/>
            </w:pPr>
            <w:r>
              <w:rPr>
                <w:sz w:val="20"/>
              </w:rPr>
              <w:t>~50.9%</w:t>
            </w:r>
          </w:p>
        </w:tc>
        <w:tc>
          <w:tcPr>
            <w:tcW w:type="dxa" w:w="1814"/>
            <w:shd w:val="clear" w:color="auto" w:fill="EBF2FA"/>
          </w:tcPr>
          <w:p>
            <w:pPr>
              <w:jc w:val="center"/>
            </w:pPr>
            <w:r>
              <w:rPr>
                <w:sz w:val="20"/>
              </w:rPr>
              <w:t>~53.2</w:t>
            </w:r>
          </w:p>
        </w:tc>
        <w:tc>
          <w:tcPr>
            <w:tcW w:type="dxa" w:w="1814"/>
            <w:shd w:val="clear" w:color="auto" w:fill="EBF2FA"/>
          </w:tcPr>
          <w:p>
            <w:pPr>
              <w:jc w:val="center"/>
            </w:pPr>
            <w:r>
              <w:rPr>
                <w:sz w:val="20"/>
              </w:rPr>
              <w:t>None</w:t>
            </w:r>
          </w:p>
        </w:tc>
      </w:tr>
    </w:tbl>
    <w:p/>
    <w:p>
      <w:pPr>
        <w:spacing w:after="120" w:before="40"/>
      </w:pPr>
      <w:r>
        <w:rPr>
          <w:b w:val="0"/>
          <w:i w:val="0"/>
          <w:color w:val="404040"/>
          <w:sz w:val="21"/>
        </w:rPr>
        <w:t>The gender fail rate gap is 1.8 percentage points (51.5% vs 49.7%) — within acceptable bounds and below the 5% threshold that would trigger a formal bias review. Ethnicity groups show near-identical failure rates, confirming the risk model does not encode ethnic bias. Annual bias auditing is recommended to maintain this baseline.</w:t>
      </w:r>
    </w:p>
    <w:p>
      <w:pPr>
        <w:spacing w:before="360" w:after="160"/>
      </w:pPr>
      <w:r>
        <w:rPr>
          <w:b/>
          <w:color w:val="1B2A4A"/>
          <w:sz w:val="30"/>
        </w:rPr>
        <w:t>8.2 Ethical Principles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B2A4A"/>
          </w:tcPr>
          <w:p>
            <w:pPr>
              <w:jc w:val="center"/>
            </w:pPr>
            <w:r>
              <w:rPr>
                <w:b/>
                <w:color w:val="FFFFFF"/>
                <w:sz w:val="20"/>
              </w:rPr>
              <w:t>Principle</w:t>
            </w:r>
          </w:p>
        </w:tc>
        <w:tc>
          <w:tcPr>
            <w:tcW w:type="dxa" w:w="4536"/>
            <w:shd w:val="clear" w:color="auto" w:fill="1B2A4A"/>
          </w:tcPr>
          <w:p>
            <w:pPr>
              <w:jc w:val="center"/>
            </w:pPr>
            <w:r>
              <w:rPr>
                <w:b/>
                <w:color w:val="FFFFFF"/>
                <w:sz w:val="20"/>
              </w:rPr>
              <w:t>Implementation</w:t>
            </w:r>
          </w:p>
        </w:tc>
      </w:tr>
      <w:tr>
        <w:tc>
          <w:tcPr>
            <w:tcW w:type="dxa" w:w="4536"/>
            <w:shd w:val="clear" w:color="auto" w:fill="FFFFFF"/>
          </w:tcPr>
          <w:p>
            <w:pPr>
              <w:jc w:val="center"/>
            </w:pPr>
            <w:r>
              <w:rPr>
                <w:sz w:val="20"/>
              </w:rPr>
              <w:t>Non-Punitive Use</w:t>
            </w:r>
          </w:p>
        </w:tc>
        <w:tc>
          <w:tcPr>
            <w:tcW w:type="dxa" w:w="4536"/>
            <w:shd w:val="clear" w:color="auto" w:fill="FFFFFF"/>
          </w:tcPr>
          <w:p>
            <w:pPr>
              <w:jc w:val="center"/>
            </w:pPr>
            <w:r>
              <w:rPr>
                <w:sz w:val="20"/>
              </w:rPr>
              <w:t>Risk labels are NEVER used for disciplinary action or academic penalties.</w:t>
            </w:r>
          </w:p>
        </w:tc>
      </w:tr>
      <w:tr>
        <w:tc>
          <w:tcPr>
            <w:tcW w:type="dxa" w:w="4536"/>
            <w:shd w:val="clear" w:color="auto" w:fill="EBF2FA"/>
          </w:tcPr>
          <w:p>
            <w:pPr>
              <w:jc w:val="center"/>
            </w:pPr>
            <w:r>
              <w:rPr>
                <w:sz w:val="20"/>
              </w:rPr>
              <w:t>Human-in-the-Loop</w:t>
            </w:r>
          </w:p>
        </w:tc>
        <w:tc>
          <w:tcPr>
            <w:tcW w:type="dxa" w:w="4536"/>
            <w:shd w:val="clear" w:color="auto" w:fill="EBF2FA"/>
          </w:tcPr>
          <w:p>
            <w:pPr>
              <w:jc w:val="center"/>
            </w:pPr>
            <w:r>
              <w:rPr>
                <w:sz w:val="20"/>
              </w:rPr>
              <w:t>No automated decisions are made; all alerts require advisor review.</w:t>
            </w:r>
          </w:p>
        </w:tc>
      </w:tr>
      <w:tr>
        <w:tc>
          <w:tcPr>
            <w:tcW w:type="dxa" w:w="4536"/>
            <w:shd w:val="clear" w:color="auto" w:fill="FFFFFF"/>
          </w:tcPr>
          <w:p>
            <w:pPr>
              <w:jc w:val="center"/>
            </w:pPr>
            <w:r>
              <w:rPr>
                <w:sz w:val="20"/>
              </w:rPr>
              <w:t>Data Minimisation</w:t>
            </w:r>
          </w:p>
        </w:tc>
        <w:tc>
          <w:tcPr>
            <w:tcW w:type="dxa" w:w="4536"/>
            <w:shd w:val="clear" w:color="auto" w:fill="FFFFFF"/>
          </w:tcPr>
          <w:p>
            <w:pPr>
              <w:jc w:val="center"/>
            </w:pPr>
            <w:r>
              <w:rPr>
                <w:sz w:val="20"/>
              </w:rPr>
              <w:t>Only academically relevant variables used — no names, addresses, or financial data.</w:t>
            </w:r>
          </w:p>
        </w:tc>
      </w:tr>
      <w:tr>
        <w:tc>
          <w:tcPr>
            <w:tcW w:type="dxa" w:w="4536"/>
            <w:shd w:val="clear" w:color="auto" w:fill="EBF2FA"/>
          </w:tcPr>
          <w:p>
            <w:pPr>
              <w:jc w:val="center"/>
            </w:pPr>
            <w:r>
              <w:rPr>
                <w:sz w:val="20"/>
              </w:rPr>
              <w:t>Purpose Limitation</w:t>
            </w:r>
          </w:p>
        </w:tc>
        <w:tc>
          <w:tcPr>
            <w:tcW w:type="dxa" w:w="4536"/>
            <w:shd w:val="clear" w:color="auto" w:fill="EBF2FA"/>
          </w:tcPr>
          <w:p>
            <w:pPr>
              <w:jc w:val="center"/>
            </w:pPr>
            <w:r>
              <w:rPr>
                <w:sz w:val="20"/>
              </w:rPr>
              <w:t>Data used solely for early intervention. Not shared with third parties.</w:t>
            </w:r>
          </w:p>
        </w:tc>
      </w:tr>
      <w:tr>
        <w:tc>
          <w:tcPr>
            <w:tcW w:type="dxa" w:w="4536"/>
            <w:shd w:val="clear" w:color="auto" w:fill="FFFFFF"/>
          </w:tcPr>
          <w:p>
            <w:pPr>
              <w:jc w:val="center"/>
            </w:pPr>
            <w:r>
              <w:rPr>
                <w:sz w:val="20"/>
              </w:rPr>
              <w:t>Consent &amp; Transparency</w:t>
            </w:r>
          </w:p>
        </w:tc>
        <w:tc>
          <w:tcPr>
            <w:tcW w:type="dxa" w:w="4536"/>
            <w:shd w:val="clear" w:color="auto" w:fill="FFFFFF"/>
          </w:tcPr>
          <w:p>
            <w:pPr>
              <w:jc w:val="center"/>
            </w:pPr>
            <w:r>
              <w:rPr>
                <w:sz w:val="20"/>
              </w:rPr>
              <w:t>Students are informed of the system. Opt-out mechanism available.</w:t>
            </w:r>
          </w:p>
        </w:tc>
      </w:tr>
      <w:tr>
        <w:tc>
          <w:tcPr>
            <w:tcW w:type="dxa" w:w="4536"/>
            <w:shd w:val="clear" w:color="auto" w:fill="EBF2FA"/>
          </w:tcPr>
          <w:p>
            <w:pPr>
              <w:jc w:val="center"/>
            </w:pPr>
            <w:r>
              <w:rPr>
                <w:sz w:val="20"/>
              </w:rPr>
              <w:t>Right to Challenge</w:t>
            </w:r>
          </w:p>
        </w:tc>
        <w:tc>
          <w:tcPr>
            <w:tcW w:type="dxa" w:w="4536"/>
            <w:shd w:val="clear" w:color="auto" w:fill="EBF2FA"/>
          </w:tcPr>
          <w:p>
            <w:pPr>
              <w:jc w:val="center"/>
            </w:pPr>
            <w:r>
              <w:rPr>
                <w:sz w:val="20"/>
              </w:rPr>
              <w:t>Students may contest their risk categorisation via academic affairs office.</w:t>
            </w:r>
          </w:p>
        </w:tc>
      </w:tr>
      <w:tr>
        <w:tc>
          <w:tcPr>
            <w:tcW w:type="dxa" w:w="4536"/>
            <w:shd w:val="clear" w:color="auto" w:fill="FFFFFF"/>
          </w:tcPr>
          <w:p>
            <w:pPr>
              <w:jc w:val="center"/>
            </w:pPr>
            <w:r>
              <w:rPr>
                <w:sz w:val="20"/>
              </w:rPr>
              <w:t>Retention Policy</w:t>
            </w:r>
          </w:p>
        </w:tc>
        <w:tc>
          <w:tcPr>
            <w:tcW w:type="dxa" w:w="4536"/>
            <w:shd w:val="clear" w:color="auto" w:fill="FFFFFF"/>
          </w:tcPr>
          <w:p>
            <w:pPr>
              <w:jc w:val="center"/>
            </w:pPr>
            <w:r>
              <w:rPr>
                <w:sz w:val="20"/>
              </w:rPr>
              <w:t>Risk scores recalculated each semester. Historical data purged after 2 years.</w:t>
            </w:r>
          </w:p>
        </w:tc>
      </w:tr>
      <w:tr>
        <w:tc>
          <w:tcPr>
            <w:tcW w:type="dxa" w:w="4536"/>
            <w:shd w:val="clear" w:color="auto" w:fill="EBF2FA"/>
          </w:tcPr>
          <w:p>
            <w:pPr>
              <w:jc w:val="center"/>
            </w:pPr>
            <w:r>
              <w:rPr>
                <w:sz w:val="20"/>
              </w:rPr>
              <w:t>De-identification</w:t>
            </w:r>
          </w:p>
        </w:tc>
        <w:tc>
          <w:tcPr>
            <w:tcW w:type="dxa" w:w="4536"/>
            <w:shd w:val="clear" w:color="auto" w:fill="EBF2FA"/>
          </w:tcPr>
          <w:p>
            <w:pPr>
              <w:jc w:val="center"/>
            </w:pPr>
            <w:r>
              <w:rPr>
                <w:sz w:val="20"/>
              </w:rPr>
              <w:t>All reports and exports use Student ID only. Re-identification is restricted.</w:t>
            </w:r>
          </w:p>
        </w:tc>
      </w:tr>
    </w:tbl>
    <w:p/>
    <w:p>
      <w:pPr>
        <w:spacing w:before="360" w:after="160"/>
        <w:jc w:val="left"/>
        <w:pBdr>
          <w:bottom w:val="single" w:sz="6" w:space="1" w:color="2E5090"/>
        </w:pBdr>
      </w:pPr>
      <w:r>
        <w:rPr>
          <w:b/>
          <w:color w:val="1B2A4A"/>
          <w:sz w:val="40"/>
        </w:rPr>
        <w:t>9. Technical Architecture</w:t>
      </w:r>
    </w:p>
    <w:p>
      <w:pPr>
        <w:spacing w:after="120" w:before="40"/>
      </w:pPr>
      <w:r>
        <w:rPr>
          <w:b w:val="0"/>
          <w:i w:val="0"/>
          <w:color w:val="404040"/>
          <w:sz w:val="21"/>
        </w:rPr>
        <w:t>The system is built entirely in Python using open-source libraries, ensuring low cost, high portability, and ease of maintenance by institutional IT teams.</w:t>
      </w:r>
    </w:p>
    <w:p>
      <w:pPr>
        <w:spacing w:before="360" w:after="160"/>
      </w:pPr>
      <w:r>
        <w:rPr>
          <w:b/>
          <w:color w:val="1B2A4A"/>
          <w:sz w:val="30"/>
        </w:rPr>
        <w:t>9.1 Technology Stack</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B2A4A"/>
          </w:tcPr>
          <w:p>
            <w:pPr>
              <w:jc w:val="center"/>
            </w:pPr>
            <w:r>
              <w:rPr>
                <w:b/>
                <w:color w:val="FFFFFF"/>
                <w:sz w:val="20"/>
              </w:rPr>
              <w:t>Component</w:t>
            </w:r>
          </w:p>
        </w:tc>
        <w:tc>
          <w:tcPr>
            <w:tcW w:type="dxa" w:w="3024"/>
            <w:shd w:val="clear" w:color="auto" w:fill="1B2A4A"/>
          </w:tcPr>
          <w:p>
            <w:pPr>
              <w:jc w:val="center"/>
            </w:pPr>
            <w:r>
              <w:rPr>
                <w:b/>
                <w:color w:val="FFFFFF"/>
                <w:sz w:val="20"/>
              </w:rPr>
              <w:t>Technology</w:t>
            </w:r>
          </w:p>
        </w:tc>
        <w:tc>
          <w:tcPr>
            <w:tcW w:type="dxa" w:w="3024"/>
            <w:shd w:val="clear" w:color="auto" w:fill="1B2A4A"/>
          </w:tcPr>
          <w:p>
            <w:pPr>
              <w:jc w:val="center"/>
            </w:pPr>
            <w:r>
              <w:rPr>
                <w:b/>
                <w:color w:val="FFFFFF"/>
                <w:sz w:val="20"/>
              </w:rPr>
              <w:t>Purpose</w:t>
            </w:r>
          </w:p>
        </w:tc>
      </w:tr>
      <w:tr>
        <w:tc>
          <w:tcPr>
            <w:tcW w:type="dxa" w:w="3024"/>
            <w:shd w:val="clear" w:color="auto" w:fill="FFFFFF"/>
          </w:tcPr>
          <w:p>
            <w:pPr>
              <w:jc w:val="center"/>
            </w:pPr>
            <w:r>
              <w:rPr>
                <w:sz w:val="20"/>
              </w:rPr>
              <w:t>Web Dashboard</w:t>
            </w:r>
          </w:p>
        </w:tc>
        <w:tc>
          <w:tcPr>
            <w:tcW w:type="dxa" w:w="3024"/>
            <w:shd w:val="clear" w:color="auto" w:fill="FFFFFF"/>
          </w:tcPr>
          <w:p>
            <w:pPr>
              <w:jc w:val="center"/>
            </w:pPr>
            <w:r>
              <w:rPr>
                <w:sz w:val="20"/>
              </w:rPr>
              <w:t>Plotly Dash 2.x</w:t>
            </w:r>
          </w:p>
        </w:tc>
        <w:tc>
          <w:tcPr>
            <w:tcW w:type="dxa" w:w="3024"/>
            <w:shd w:val="clear" w:color="auto" w:fill="FFFFFF"/>
          </w:tcPr>
          <w:p>
            <w:pPr>
              <w:jc w:val="center"/>
            </w:pPr>
            <w:r>
              <w:rPr>
                <w:sz w:val="20"/>
              </w:rPr>
              <w:t>5-tab interactive data application</w:t>
            </w:r>
          </w:p>
        </w:tc>
      </w:tr>
      <w:tr>
        <w:tc>
          <w:tcPr>
            <w:tcW w:type="dxa" w:w="3024"/>
            <w:shd w:val="clear" w:color="auto" w:fill="EBF2FA"/>
          </w:tcPr>
          <w:p>
            <w:pPr>
              <w:jc w:val="center"/>
            </w:pPr>
            <w:r>
              <w:rPr>
                <w:sz w:val="20"/>
              </w:rPr>
              <w:t>Charts</w:t>
            </w:r>
          </w:p>
        </w:tc>
        <w:tc>
          <w:tcPr>
            <w:tcW w:type="dxa" w:w="3024"/>
            <w:shd w:val="clear" w:color="auto" w:fill="EBF2FA"/>
          </w:tcPr>
          <w:p>
            <w:pPr>
              <w:jc w:val="center"/>
            </w:pPr>
            <w:r>
              <w:rPr>
                <w:sz w:val="20"/>
              </w:rPr>
              <w:t>Plotly 5.x</w:t>
            </w:r>
          </w:p>
        </w:tc>
        <w:tc>
          <w:tcPr>
            <w:tcW w:type="dxa" w:w="3024"/>
            <w:shd w:val="clear" w:color="auto" w:fill="EBF2FA"/>
          </w:tcPr>
          <w:p>
            <w:pPr>
              <w:jc w:val="center"/>
            </w:pPr>
            <w:r>
              <w:rPr>
                <w:sz w:val="20"/>
              </w:rPr>
              <w:t>Scatter, bar, pie, line visualisations</w:t>
            </w:r>
          </w:p>
        </w:tc>
      </w:tr>
      <w:tr>
        <w:tc>
          <w:tcPr>
            <w:tcW w:type="dxa" w:w="3024"/>
            <w:shd w:val="clear" w:color="auto" w:fill="FFFFFF"/>
          </w:tcPr>
          <w:p>
            <w:pPr>
              <w:jc w:val="center"/>
            </w:pPr>
            <w:r>
              <w:rPr>
                <w:sz w:val="20"/>
              </w:rPr>
              <w:t>Data Processing</w:t>
            </w:r>
          </w:p>
        </w:tc>
        <w:tc>
          <w:tcPr>
            <w:tcW w:type="dxa" w:w="3024"/>
            <w:shd w:val="clear" w:color="auto" w:fill="FFFFFF"/>
          </w:tcPr>
          <w:p>
            <w:pPr>
              <w:jc w:val="center"/>
            </w:pPr>
            <w:r>
              <w:rPr>
                <w:sz w:val="20"/>
              </w:rPr>
              <w:t>Pandas 2.x / NumPy</w:t>
            </w:r>
          </w:p>
        </w:tc>
        <w:tc>
          <w:tcPr>
            <w:tcW w:type="dxa" w:w="3024"/>
            <w:shd w:val="clear" w:color="auto" w:fill="FFFFFF"/>
          </w:tcPr>
          <w:p>
            <w:pPr>
              <w:jc w:val="center"/>
            </w:pPr>
            <w:r>
              <w:rPr>
                <w:sz w:val="20"/>
              </w:rPr>
              <w:t>Data wrangling, aggregation, correlation</w:t>
            </w:r>
          </w:p>
        </w:tc>
      </w:tr>
      <w:tr>
        <w:tc>
          <w:tcPr>
            <w:tcW w:type="dxa" w:w="3024"/>
            <w:shd w:val="clear" w:color="auto" w:fill="EBF2FA"/>
          </w:tcPr>
          <w:p>
            <w:pPr>
              <w:jc w:val="center"/>
            </w:pPr>
            <w:r>
              <w:rPr>
                <w:sz w:val="20"/>
              </w:rPr>
              <w:t>Excel Report</w:t>
            </w:r>
          </w:p>
        </w:tc>
        <w:tc>
          <w:tcPr>
            <w:tcW w:type="dxa" w:w="3024"/>
            <w:shd w:val="clear" w:color="auto" w:fill="EBF2FA"/>
          </w:tcPr>
          <w:p>
            <w:pPr>
              <w:jc w:val="center"/>
            </w:pPr>
            <w:r>
              <w:rPr>
                <w:sz w:val="20"/>
              </w:rPr>
              <w:t>OpenPyXL</w:t>
            </w:r>
          </w:p>
        </w:tc>
        <w:tc>
          <w:tcPr>
            <w:tcW w:type="dxa" w:w="3024"/>
            <w:shd w:val="clear" w:color="auto" w:fill="EBF2FA"/>
          </w:tcPr>
          <w:p>
            <w:pPr>
              <w:jc w:val="center"/>
            </w:pPr>
            <w:r>
              <w:rPr>
                <w:sz w:val="20"/>
              </w:rPr>
              <w:t>100+ live formulas, 14+ charts</w:t>
            </w:r>
          </w:p>
        </w:tc>
      </w:tr>
      <w:tr>
        <w:tc>
          <w:tcPr>
            <w:tcW w:type="dxa" w:w="3024"/>
            <w:shd w:val="clear" w:color="auto" w:fill="FFFFFF"/>
          </w:tcPr>
          <w:p>
            <w:pPr>
              <w:jc w:val="center"/>
            </w:pPr>
            <w:r>
              <w:rPr>
                <w:sz w:val="20"/>
              </w:rPr>
              <w:t>Deployment</w:t>
            </w:r>
          </w:p>
        </w:tc>
        <w:tc>
          <w:tcPr>
            <w:tcW w:type="dxa" w:w="3024"/>
            <w:shd w:val="clear" w:color="auto" w:fill="FFFFFF"/>
          </w:tcPr>
          <w:p>
            <w:pPr>
              <w:jc w:val="center"/>
            </w:pPr>
            <w:r>
              <w:rPr>
                <w:sz w:val="20"/>
              </w:rPr>
              <w:t>Vercel (serverless)</w:t>
            </w:r>
          </w:p>
        </w:tc>
        <w:tc>
          <w:tcPr>
            <w:tcW w:type="dxa" w:w="3024"/>
            <w:shd w:val="clear" w:color="auto" w:fill="FFFFFF"/>
          </w:tcPr>
          <w:p>
            <w:pPr>
              <w:jc w:val="center"/>
            </w:pPr>
            <w:r>
              <w:rPr>
                <w:sz w:val="20"/>
              </w:rPr>
              <w:t>WSGI entry point via api/index.py</w:t>
            </w:r>
          </w:p>
        </w:tc>
      </w:tr>
      <w:tr>
        <w:tc>
          <w:tcPr>
            <w:tcW w:type="dxa" w:w="3024"/>
            <w:shd w:val="clear" w:color="auto" w:fill="EBF2FA"/>
          </w:tcPr>
          <w:p>
            <w:pPr>
              <w:jc w:val="center"/>
            </w:pPr>
            <w:r>
              <w:rPr>
                <w:sz w:val="20"/>
              </w:rPr>
              <w:t>Version Control</w:t>
            </w:r>
          </w:p>
        </w:tc>
        <w:tc>
          <w:tcPr>
            <w:tcW w:type="dxa" w:w="3024"/>
            <w:shd w:val="clear" w:color="auto" w:fill="EBF2FA"/>
          </w:tcPr>
          <w:p>
            <w:pPr>
              <w:jc w:val="center"/>
            </w:pPr>
            <w:r>
              <w:rPr>
                <w:sz w:val="20"/>
              </w:rPr>
              <w:t>Git / GitHub</w:t>
            </w:r>
          </w:p>
        </w:tc>
        <w:tc>
          <w:tcPr>
            <w:tcW w:type="dxa" w:w="3024"/>
            <w:shd w:val="clear" w:color="auto" w:fill="EBF2FA"/>
          </w:tcPr>
          <w:p>
            <w:pPr>
              <w:jc w:val="center"/>
            </w:pPr>
            <w:r>
              <w:rPr>
                <w:sz w:val="20"/>
              </w:rPr>
              <w:t>Source at prachisingh342006/data_analytics_project</w:t>
            </w:r>
          </w:p>
        </w:tc>
      </w:tr>
    </w:tbl>
    <w:p/>
    <w:p>
      <w:pPr>
        <w:spacing w:before="360" w:after="160"/>
      </w:pPr>
      <w:r>
        <w:rPr>
          <w:b/>
          <w:color w:val="1B2A4A"/>
          <w:sz w:val="30"/>
        </w:rPr>
        <w:t>9.2 Dashboard Module Summary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B2A4A"/>
          </w:tcPr>
          <w:p>
            <w:pPr>
              <w:jc w:val="center"/>
            </w:pPr>
            <w:r>
              <w:rPr>
                <w:b/>
                <w:color w:val="FFFFFF"/>
                <w:sz w:val="20"/>
              </w:rPr>
              <w:t>Tab</w:t>
            </w:r>
          </w:p>
        </w:tc>
        <w:tc>
          <w:tcPr>
            <w:tcW w:type="dxa" w:w="3024"/>
            <w:shd w:val="clear" w:color="auto" w:fill="1B2A4A"/>
          </w:tcPr>
          <w:p>
            <w:pPr>
              <w:jc w:val="center"/>
            </w:pPr>
            <w:r>
              <w:rPr>
                <w:b/>
                <w:color w:val="FFFFFF"/>
                <w:sz w:val="20"/>
              </w:rPr>
              <w:t>Module Name</w:t>
            </w:r>
          </w:p>
        </w:tc>
        <w:tc>
          <w:tcPr>
            <w:tcW w:type="dxa" w:w="3024"/>
            <w:shd w:val="clear" w:color="auto" w:fill="1B2A4A"/>
          </w:tcPr>
          <w:p>
            <w:pPr>
              <w:jc w:val="center"/>
            </w:pPr>
            <w:r>
              <w:rPr>
                <w:b/>
                <w:color w:val="FFFFFF"/>
                <w:sz w:val="20"/>
              </w:rPr>
              <w:t>Key Features</w:t>
            </w:r>
          </w:p>
        </w:tc>
      </w:tr>
      <w:tr>
        <w:tc>
          <w:tcPr>
            <w:tcW w:type="dxa" w:w="3024"/>
            <w:shd w:val="clear" w:color="auto" w:fill="FFFFFF"/>
          </w:tcPr>
          <w:p>
            <w:pPr>
              <w:jc w:val="center"/>
            </w:pPr>
            <w:r>
              <w:rPr>
                <w:sz w:val="20"/>
              </w:rPr>
              <w:t>1</w:t>
            </w:r>
          </w:p>
        </w:tc>
        <w:tc>
          <w:tcPr>
            <w:tcW w:type="dxa" w:w="3024"/>
            <w:shd w:val="clear" w:color="auto" w:fill="FFFFFF"/>
          </w:tcPr>
          <w:p>
            <w:pPr>
              <w:jc w:val="center"/>
            </w:pPr>
            <w:r>
              <w:rPr>
                <w:sz w:val="20"/>
              </w:rPr>
              <w:t>Academic Overview</w:t>
            </w:r>
          </w:p>
        </w:tc>
        <w:tc>
          <w:tcPr>
            <w:tcW w:type="dxa" w:w="3024"/>
            <w:shd w:val="clear" w:color="auto" w:fill="FFFFFF"/>
          </w:tcPr>
          <w:p>
            <w:pPr>
              <w:jc w:val="center"/>
            </w:pPr>
            <w:r>
              <w:rPr>
                <w:sz w:val="20"/>
              </w:rPr>
              <w:t>6 KPI cards, grade distribution bar, pass/fail pie, GPA by education bar</w:t>
            </w:r>
          </w:p>
        </w:tc>
      </w:tr>
      <w:tr>
        <w:tc>
          <w:tcPr>
            <w:tcW w:type="dxa" w:w="3024"/>
            <w:shd w:val="clear" w:color="auto" w:fill="EBF2FA"/>
          </w:tcPr>
          <w:p>
            <w:pPr>
              <w:jc w:val="center"/>
            </w:pPr>
            <w:r>
              <w:rPr>
                <w:sz w:val="20"/>
              </w:rPr>
              <w:t>2</w:t>
            </w:r>
          </w:p>
        </w:tc>
        <w:tc>
          <w:tcPr>
            <w:tcW w:type="dxa" w:w="3024"/>
            <w:shd w:val="clear" w:color="auto" w:fill="EBF2FA"/>
          </w:tcPr>
          <w:p>
            <w:pPr>
              <w:jc w:val="center"/>
            </w:pPr>
            <w:r>
              <w:rPr>
                <w:sz w:val="20"/>
              </w:rPr>
              <w:t>Risk Factor Analysis</w:t>
            </w:r>
          </w:p>
        </w:tc>
        <w:tc>
          <w:tcPr>
            <w:tcW w:type="dxa" w:w="3024"/>
            <w:shd w:val="clear" w:color="auto" w:fill="EBF2FA"/>
          </w:tcPr>
          <w:p>
            <w:pPr>
              <w:jc w:val="center"/>
            </w:pPr>
            <w:r>
              <w:rPr>
                <w:sz w:val="20"/>
              </w:rPr>
              <w:t>Scatter plots, correlation bar chart, tutoring/support impact bars</w:t>
            </w:r>
          </w:p>
        </w:tc>
      </w:tr>
      <w:tr>
        <w:tc>
          <w:tcPr>
            <w:tcW w:type="dxa" w:w="3024"/>
            <w:shd w:val="clear" w:color="auto" w:fill="FFFFFF"/>
          </w:tcPr>
          <w:p>
            <w:pPr>
              <w:jc w:val="center"/>
            </w:pPr>
            <w:r>
              <w:rPr>
                <w:sz w:val="20"/>
              </w:rPr>
              <w:t>3</w:t>
            </w:r>
          </w:p>
        </w:tc>
        <w:tc>
          <w:tcPr>
            <w:tcW w:type="dxa" w:w="3024"/>
            <w:shd w:val="clear" w:color="auto" w:fill="FFFFFF"/>
          </w:tcPr>
          <w:p>
            <w:pPr>
              <w:jc w:val="center"/>
            </w:pPr>
            <w:r>
              <w:rPr>
                <w:sz w:val="20"/>
              </w:rPr>
              <w:t>Performance Risk Index</w:t>
            </w:r>
          </w:p>
        </w:tc>
        <w:tc>
          <w:tcPr>
            <w:tcW w:type="dxa" w:w="3024"/>
            <w:shd w:val="clear" w:color="auto" w:fill="FFFFFF"/>
          </w:tcPr>
          <w:p>
            <w:pPr>
              <w:jc w:val="center"/>
            </w:pPr>
            <w:r>
              <w:rPr>
                <w:sz w:val="20"/>
              </w:rPr>
              <w:t>Risk distribution pie &amp; bar, summary table, top-20 at-risk student table</w:t>
            </w:r>
          </w:p>
        </w:tc>
      </w:tr>
      <w:tr>
        <w:tc>
          <w:tcPr>
            <w:tcW w:type="dxa" w:w="3024"/>
            <w:shd w:val="clear" w:color="auto" w:fill="EBF2FA"/>
          </w:tcPr>
          <w:p>
            <w:pPr>
              <w:jc w:val="center"/>
            </w:pPr>
            <w:r>
              <w:rPr>
                <w:sz w:val="20"/>
              </w:rPr>
              <w:t>4</w:t>
            </w:r>
          </w:p>
        </w:tc>
        <w:tc>
          <w:tcPr>
            <w:tcW w:type="dxa" w:w="3024"/>
            <w:shd w:val="clear" w:color="auto" w:fill="EBF2FA"/>
          </w:tcPr>
          <w:p>
            <w:pPr>
              <w:jc w:val="center"/>
            </w:pPr>
            <w:r>
              <w:rPr>
                <w:sz w:val="20"/>
              </w:rPr>
              <w:t>Intervention Simulator</w:t>
            </w:r>
          </w:p>
        </w:tc>
        <w:tc>
          <w:tcPr>
            <w:tcW w:type="dxa" w:w="3024"/>
            <w:shd w:val="clear" w:color="auto" w:fill="EBF2FA"/>
          </w:tcPr>
          <w:p>
            <w:pPr>
              <w:jc w:val="center"/>
            </w:pPr>
            <w:r>
              <w:rPr>
                <w:sz w:val="20"/>
              </w:rPr>
              <w:t>Interactive sliders, projected KPIs, current vs projected bar chart</w:t>
            </w:r>
          </w:p>
        </w:tc>
      </w:tr>
      <w:tr>
        <w:tc>
          <w:tcPr>
            <w:tcW w:type="dxa" w:w="3024"/>
            <w:shd w:val="clear" w:color="auto" w:fill="FFFFFF"/>
          </w:tcPr>
          <w:p>
            <w:pPr>
              <w:jc w:val="center"/>
            </w:pPr>
            <w:r>
              <w:rPr>
                <w:sz w:val="20"/>
              </w:rPr>
              <w:t>5</w:t>
            </w:r>
          </w:p>
        </w:tc>
        <w:tc>
          <w:tcPr>
            <w:tcW w:type="dxa" w:w="3024"/>
            <w:shd w:val="clear" w:color="auto" w:fill="FFFFFF"/>
          </w:tcPr>
          <w:p>
            <w:pPr>
              <w:jc w:val="center"/>
            </w:pPr>
            <w:r>
              <w:rPr>
                <w:sz w:val="20"/>
              </w:rPr>
              <w:t>Ethics &amp; Safeguards</w:t>
            </w:r>
          </w:p>
        </w:tc>
        <w:tc>
          <w:tcPr>
            <w:tcW w:type="dxa" w:w="3024"/>
            <w:shd w:val="clear" w:color="auto" w:fill="FFFFFF"/>
          </w:tcPr>
          <w:p>
            <w:pPr>
              <w:jc w:val="center"/>
            </w:pPr>
            <w:r>
              <w:rPr>
                <w:sz w:val="20"/>
              </w:rPr>
              <w:t>Factor weight pie, gender/ethnicity fairness bars, privacy policy</w:t>
            </w:r>
          </w:p>
        </w:tc>
      </w:tr>
    </w:tbl>
    <w:p/>
    <w:p>
      <w:pPr>
        <w:spacing w:before="360" w:after="160"/>
      </w:pPr>
      <w:r>
        <w:rPr>
          <w:b/>
          <w:color w:val="1B2A4A"/>
          <w:sz w:val="30"/>
        </w:rPr>
        <w:t>9.3 File Structure</w:t>
      </w:r>
    </w:p>
    <w:p>
      <w:pPr>
        <w:pStyle w:val="ListBullet"/>
        <w:spacing w:after="80" w:before="40"/>
      </w:pPr>
      <w:r>
        <w:rPr>
          <w:color w:val="404040"/>
          <w:sz w:val="21"/>
        </w:rPr>
        <w:t>app.py                          — Main Dash web application (618 lines)</w:t>
      </w:r>
    </w:p>
    <w:p>
      <w:pPr>
        <w:pStyle w:val="ListBullet"/>
        <w:spacing w:after="80" w:before="40"/>
      </w:pPr>
      <w:r>
        <w:rPr>
          <w:color w:val="404040"/>
          <w:sz w:val="21"/>
        </w:rPr>
        <w:t>build_dashboard.py              — Excel generator with formulas and charts</w:t>
      </w:r>
    </w:p>
    <w:p>
      <w:pPr>
        <w:pStyle w:val="ListBullet"/>
        <w:spacing w:after="80" w:before="40"/>
      </w:pPr>
      <w:r>
        <w:rPr>
          <w:color w:val="404040"/>
          <w:sz w:val="21"/>
        </w:rPr>
        <w:t>Student_performance_data _.csv  — Source dataset (2,392 rows × 15 columns)</w:t>
      </w:r>
    </w:p>
    <w:p>
      <w:pPr>
        <w:pStyle w:val="ListBullet"/>
        <w:spacing w:after="80" w:before="40"/>
      </w:pPr>
      <w:r>
        <w:rPr>
          <w:color w:val="404040"/>
          <w:sz w:val="21"/>
        </w:rPr>
        <w:t>Student_Early_Warning_Dashboard.xlsx — Generated Excel dashboard (5 sheets)</w:t>
      </w:r>
    </w:p>
    <w:p>
      <w:pPr>
        <w:pStyle w:val="ListBullet"/>
        <w:spacing w:after="80" w:before="40"/>
      </w:pPr>
      <w:r>
        <w:rPr>
          <w:color w:val="404040"/>
          <w:sz w:val="21"/>
        </w:rPr>
        <w:t>api/index.py                    — Vercel serverless WSGI entry point</w:t>
      </w:r>
    </w:p>
    <w:p>
      <w:pPr>
        <w:pStyle w:val="ListBullet"/>
        <w:spacing w:after="80" w:before="40"/>
      </w:pPr>
      <w:r>
        <w:rPr>
          <w:color w:val="404040"/>
          <w:sz w:val="21"/>
        </w:rPr>
        <w:t>vercel.json                     — Vercel deployment configuration</w:t>
      </w:r>
    </w:p>
    <w:p>
      <w:pPr>
        <w:pStyle w:val="ListBullet"/>
        <w:spacing w:after="80" w:before="40"/>
      </w:pPr>
      <w:r>
        <w:rPr>
          <w:color w:val="404040"/>
          <w:sz w:val="21"/>
        </w:rPr>
        <w:t>requirements.txt                — Python package dependencies</w:t>
      </w:r>
    </w:p>
    <w:p>
      <w:r>
        <w:br w:type="page"/>
      </w:r>
    </w:p>
    <w:p>
      <w:pPr>
        <w:spacing w:before="80" w:after="160"/>
        <w:jc w:val="left"/>
        <w:pBdr>
          <w:bottom w:val="single" w:sz="6" w:space="1" w:color="2E5090"/>
        </w:pBdr>
      </w:pPr>
      <w:r>
        <w:rPr>
          <w:b/>
          <w:color w:val="1B2A4A"/>
          <w:sz w:val="40"/>
        </w:rPr>
        <w:t>10. Conclusions &amp; Recommendations</w:t>
      </w:r>
    </w:p>
    <w:p>
      <w:pPr>
        <w:spacing w:after="120" w:before="40"/>
      </w:pPr>
      <w:r>
        <w:rPr>
          <w:b w:val="0"/>
          <w:i w:val="0"/>
          <w:color w:val="404040"/>
          <w:sz w:val="21"/>
        </w:rPr>
        <w:t>This project successfully delivered a complete early warning ecosystem — a live web dashboard, an Excel analytical workbook, and this report — backed by rigorous statistical analysis of 2,392 student records. The system transforms raw academic data into actionable intelligence for advisors, department heads, and institutional leaders.</w:t>
      </w:r>
    </w:p>
    <w:p>
      <w:pPr>
        <w:spacing w:before="360" w:after="160"/>
      </w:pPr>
      <w:r>
        <w:rPr>
          <w:b/>
          <w:color w:val="1B2A4A"/>
          <w:sz w:val="30"/>
        </w:rPr>
        <w:t>10.1 Key Findings Summary</w:t>
      </w:r>
    </w:p>
    <w:p>
      <w:pPr>
        <w:pStyle w:val="ListBullet"/>
        <w:spacing w:after="80" w:before="40"/>
      </w:pPr>
      <w:r>
        <w:rPr>
          <w:color w:val="404040"/>
          <w:sz w:val="21"/>
        </w:rPr>
        <w:t>The failure rate of 50.6% is the primary institutional risk requiring structural intervention.</w:t>
      </w:r>
    </w:p>
    <w:p>
      <w:pPr>
        <w:pStyle w:val="ListBullet"/>
        <w:spacing w:after="80" w:before="40"/>
      </w:pPr>
      <w:r>
        <w:rPr>
          <w:color w:val="404040"/>
          <w:sz w:val="21"/>
        </w:rPr>
        <w:t>Absenteeism (r = −0.9193) is the single most powerful predictor of failure — 8× stronger than study time.</w:t>
      </w:r>
    </w:p>
    <w:p>
      <w:pPr>
        <w:pStyle w:val="ListBullet"/>
        <w:spacing w:after="80" w:before="40"/>
      </w:pPr>
      <w:r>
        <w:rPr>
          <w:color w:val="404040"/>
          <w:sz w:val="21"/>
        </w:rPr>
        <w:t>1,169 students (48.9%) are classified High or Critical risk and require immediate outreach.</w:t>
      </w:r>
    </w:p>
    <w:p>
      <w:pPr>
        <w:pStyle w:val="ListBullet"/>
        <w:spacing w:after="80" w:before="40"/>
      </w:pPr>
      <w:r>
        <w:rPr>
          <w:color w:val="404040"/>
          <w:sz w:val="21"/>
        </w:rPr>
        <w:t>Tutoring raises average GPA by 0.29 points; strong parental support adds 0.65 GPA points.</w:t>
      </w:r>
    </w:p>
    <w:p>
      <w:pPr>
        <w:pStyle w:val="ListBullet"/>
        <w:spacing w:after="80" w:before="40"/>
      </w:pPr>
      <w:r>
        <w:rPr>
          <w:color w:val="404040"/>
          <w:sz w:val="21"/>
        </w:rPr>
        <w:t>A combined intervention (study +5hrs, absence −5, tutoring 20%) saves ~148 students (12.3% reduction).</w:t>
      </w:r>
    </w:p>
    <w:p>
      <w:pPr>
        <w:pStyle w:val="ListBullet"/>
        <w:spacing w:after="80" w:before="40"/>
      </w:pPr>
      <w:r>
        <w:rPr>
          <w:color w:val="404040"/>
          <w:sz w:val="21"/>
        </w:rPr>
        <w:t>Demographic fairness checks confirm the risk model is equitable across gender and ethnicity.</w:t>
      </w:r>
    </w:p>
    <w:p>
      <w:pPr>
        <w:pStyle w:val="ListBullet"/>
        <w:spacing w:after="80" w:before="40"/>
      </w:pPr>
      <w:r>
        <w:rPr>
          <w:color w:val="404040"/>
          <w:sz w:val="21"/>
        </w:rPr>
        <w:t>Parental education level is not a reliable predictor (r = −0.036) and should not be over-weighted.</w:t>
      </w:r>
    </w:p>
    <w:p>
      <w:pPr>
        <w:spacing w:before="360" w:after="160"/>
      </w:pPr>
      <w:r>
        <w:rPr>
          <w:b/>
          <w:color w:val="1B2A4A"/>
          <w:sz w:val="30"/>
        </w:rPr>
        <w:t>10.2 Recommendations</w:t>
      </w:r>
    </w:p>
    <w:p>
      <w:pPr>
        <w:spacing w:after="40" w:before="40"/>
      </w:pPr>
      <w:r>
        <w:rPr>
          <w:b/>
          <w:i w:val="0"/>
          <w:color w:val="1B2A4A"/>
          <w:sz w:val="21"/>
        </w:rPr>
        <w:t>▶  Immediate (0–30 days)</w:t>
      </w:r>
    </w:p>
    <w:p>
      <w:pPr>
        <w:spacing w:after="200" w:before="40"/>
        <w:ind w:left="504"/>
      </w:pPr>
      <w:r>
        <w:rPr>
          <w:b w:val="0"/>
          <w:i w:val="0"/>
          <w:color w:val="404040"/>
          <w:sz w:val="21"/>
        </w:rPr>
        <w:t>Deploy the Dash dashboard to Vercel and grant access to all academic advisors. Schedule weekly review meetings for Critical-risk students.</w:t>
      </w:r>
    </w:p>
    <w:p>
      <w:pPr>
        <w:spacing w:after="40" w:before="40"/>
      </w:pPr>
      <w:r>
        <w:rPr>
          <w:b/>
          <w:i w:val="0"/>
          <w:color w:val="1B2A4A"/>
          <w:sz w:val="21"/>
        </w:rPr>
        <w:t>▶  Short-term (1–3 months)</w:t>
      </w:r>
    </w:p>
    <w:p>
      <w:pPr>
        <w:spacing w:after="200" w:before="40"/>
        <w:ind w:left="504"/>
      </w:pPr>
      <w:r>
        <w:rPr>
          <w:b w:val="0"/>
          <w:i w:val="0"/>
          <w:color w:val="404040"/>
          <w:sz w:val="21"/>
        </w:rPr>
        <w:t>Implement automated absence alerts: trigger advisor outreach when a student reaches 5+ absences. Target the 329 Critical-risk students first.</w:t>
      </w:r>
    </w:p>
    <w:p>
      <w:pPr>
        <w:spacing w:after="40" w:before="40"/>
      </w:pPr>
      <w:r>
        <w:rPr>
          <w:b/>
          <w:i w:val="0"/>
          <w:color w:val="1B2A4A"/>
          <w:sz w:val="21"/>
        </w:rPr>
        <w:t>▶  Medium-term (1 semester)</w:t>
      </w:r>
    </w:p>
    <w:p>
      <w:pPr>
        <w:spacing w:after="200" w:before="40"/>
        <w:ind w:left="504"/>
      </w:pPr>
      <w:r>
        <w:rPr>
          <w:b w:val="0"/>
          <w:i w:val="0"/>
          <w:color w:val="404040"/>
          <w:sz w:val="21"/>
        </w:rPr>
        <w:t>Expand tutoring enrolment to 40% of at-risk students and add a mentoring programme for High-risk students (score 55–75). Track GPA changes each month.</w:t>
      </w:r>
    </w:p>
    <w:p>
      <w:pPr>
        <w:spacing w:after="40" w:before="40"/>
      </w:pPr>
      <w:r>
        <w:rPr>
          <w:b/>
          <w:i w:val="0"/>
          <w:color w:val="1B2A4A"/>
          <w:sz w:val="21"/>
        </w:rPr>
        <w:t>▶  Long-term (1 academic year)</w:t>
      </w:r>
    </w:p>
    <w:p>
      <w:pPr>
        <w:spacing w:after="200" w:before="40"/>
        <w:ind w:left="504"/>
      </w:pPr>
      <w:r>
        <w:rPr>
          <w:b w:val="0"/>
          <w:i w:val="0"/>
          <w:color w:val="404040"/>
          <w:sz w:val="21"/>
        </w:rPr>
        <w:t>Re-calibrate risk weights using outcome data (which students were saved vs not). Run annual bias audits. Share anonymised outcomes at faculty review.</w:t>
      </w:r>
    </w:p>
    <w:p>
      <w:pPr>
        <w:spacing w:after="40" w:before="40"/>
      </w:pPr>
      <w:r>
        <w:rPr>
          <w:b/>
          <w:i w:val="0"/>
          <w:color w:val="1B2A4A"/>
          <w:sz w:val="21"/>
        </w:rPr>
        <w:t>▶  Infrastructure</w:t>
      </w:r>
    </w:p>
    <w:p>
      <w:pPr>
        <w:spacing w:after="200" w:before="40"/>
        <w:ind w:left="504"/>
      </w:pPr>
      <w:r>
        <w:rPr>
          <w:b w:val="0"/>
          <w:i w:val="0"/>
          <w:color w:val="404040"/>
          <w:sz w:val="21"/>
        </w:rPr>
        <w:t>Integrate dashboard with the student information system for real-time data feeds rather than manual CSV uploads.</w:t>
      </w:r>
    </w:p>
    <w:p>
      <w:pPr>
        <w:spacing w:before="360" w:after="160"/>
      </w:pPr>
      <w:r>
        <w:rPr>
          <w:b/>
          <w:color w:val="1B2A4A"/>
          <w:sz w:val="30"/>
        </w:rPr>
        <w:t>10.3 Impact Projection</w:t>
      </w:r>
    </w:p>
    <w:p>
      <w:pPr>
        <w:spacing w:after="120" w:before="40"/>
      </w:pPr>
      <w:r>
        <w:rPr>
          <w:b w:val="0"/>
          <w:i w:val="0"/>
          <w:color w:val="404040"/>
          <w:sz w:val="21"/>
        </w:rPr>
        <w:t>If the scaled intervention scenario is implemented (study +8 hrs, absence −8, tutoring 40%), the model projects: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20"/>
              </w:rPr>
              <w:t>Metric</w:t>
            </w:r>
          </w:p>
        </w:tc>
        <w:tc>
          <w:tcPr>
            <w:tcW w:type="dxa" w:w="2268"/>
            <w:shd w:val="clear" w:color="auto" w:fill="1B2A4A"/>
          </w:tcPr>
          <w:p>
            <w:pPr>
              <w:jc w:val="center"/>
            </w:pPr>
            <w:r>
              <w:rPr>
                <w:b/>
                <w:color w:val="FFFFFF"/>
                <w:sz w:val="20"/>
              </w:rPr>
              <w:t>Current</w:t>
            </w:r>
          </w:p>
        </w:tc>
        <w:tc>
          <w:tcPr>
            <w:tcW w:type="dxa" w:w="2268"/>
            <w:shd w:val="clear" w:color="auto" w:fill="1B2A4A"/>
          </w:tcPr>
          <w:p>
            <w:pPr>
              <w:jc w:val="center"/>
            </w:pPr>
            <w:r>
              <w:rPr>
                <w:b/>
                <w:color w:val="FFFFFF"/>
                <w:sz w:val="20"/>
              </w:rPr>
              <w:t>Projected (Scaled)</w:t>
            </w:r>
          </w:p>
        </w:tc>
        <w:tc>
          <w:tcPr>
            <w:tcW w:type="dxa" w:w="2268"/>
            <w:shd w:val="clear" w:color="auto" w:fill="1B2A4A"/>
          </w:tcPr>
          <w:p>
            <w:pPr>
              <w:jc w:val="center"/>
            </w:pPr>
            <w:r>
              <w:rPr>
                <w:b/>
                <w:color w:val="FFFFFF"/>
                <w:sz w:val="20"/>
              </w:rPr>
              <w:t>Improvement</w:t>
            </w:r>
          </w:p>
        </w:tc>
      </w:tr>
      <w:tr>
        <w:tc>
          <w:tcPr>
            <w:tcW w:type="dxa" w:w="2268"/>
            <w:shd w:val="clear" w:color="auto" w:fill="FFFFFF"/>
          </w:tcPr>
          <w:p>
            <w:pPr>
              <w:jc w:val="center"/>
            </w:pPr>
            <w:r>
              <w:rPr>
                <w:sz w:val="20"/>
              </w:rPr>
              <w:t>Fail Count</w:t>
            </w:r>
          </w:p>
        </w:tc>
        <w:tc>
          <w:tcPr>
            <w:tcW w:type="dxa" w:w="2268"/>
            <w:shd w:val="clear" w:color="auto" w:fill="FFFFFF"/>
          </w:tcPr>
          <w:p>
            <w:pPr>
              <w:jc w:val="center"/>
            </w:pPr>
            <w:r>
              <w:rPr>
                <w:sz w:val="20"/>
              </w:rPr>
              <w:t>1,211</w:t>
            </w:r>
          </w:p>
        </w:tc>
        <w:tc>
          <w:tcPr>
            <w:tcW w:type="dxa" w:w="2268"/>
            <w:shd w:val="clear" w:color="auto" w:fill="FFFFFF"/>
          </w:tcPr>
          <w:p>
            <w:pPr>
              <w:jc w:val="center"/>
            </w:pPr>
            <w:r>
              <w:rPr>
                <w:sz w:val="20"/>
              </w:rPr>
              <w:t>~962</w:t>
            </w:r>
          </w:p>
        </w:tc>
        <w:tc>
          <w:tcPr>
            <w:tcW w:type="dxa" w:w="2268"/>
            <w:shd w:val="clear" w:color="auto" w:fill="FFFFFF"/>
          </w:tcPr>
          <w:p>
            <w:pPr>
              <w:jc w:val="center"/>
            </w:pPr>
            <w:r>
              <w:rPr>
                <w:sz w:val="20"/>
              </w:rPr>
              <w:t>−249 students saved</w:t>
            </w:r>
          </w:p>
        </w:tc>
      </w:tr>
      <w:tr>
        <w:tc>
          <w:tcPr>
            <w:tcW w:type="dxa" w:w="2268"/>
            <w:shd w:val="clear" w:color="auto" w:fill="EBF2FA"/>
          </w:tcPr>
          <w:p>
            <w:pPr>
              <w:jc w:val="center"/>
            </w:pPr>
            <w:r>
              <w:rPr>
                <w:sz w:val="20"/>
              </w:rPr>
              <w:t>Fail Rate</w:t>
            </w:r>
          </w:p>
        </w:tc>
        <w:tc>
          <w:tcPr>
            <w:tcW w:type="dxa" w:w="2268"/>
            <w:shd w:val="clear" w:color="auto" w:fill="EBF2FA"/>
          </w:tcPr>
          <w:p>
            <w:pPr>
              <w:jc w:val="center"/>
            </w:pPr>
            <w:r>
              <w:rPr>
                <w:sz w:val="20"/>
              </w:rPr>
              <w:t>50.6%</w:t>
            </w:r>
          </w:p>
        </w:tc>
        <w:tc>
          <w:tcPr>
            <w:tcW w:type="dxa" w:w="2268"/>
            <w:shd w:val="clear" w:color="auto" w:fill="EBF2FA"/>
          </w:tcPr>
          <w:p>
            <w:pPr>
              <w:jc w:val="center"/>
            </w:pPr>
            <w:r>
              <w:rPr>
                <w:sz w:val="20"/>
              </w:rPr>
              <w:t>~40.2%</w:t>
            </w:r>
          </w:p>
        </w:tc>
        <w:tc>
          <w:tcPr>
            <w:tcW w:type="dxa" w:w="2268"/>
            <w:shd w:val="clear" w:color="auto" w:fill="EBF2FA"/>
          </w:tcPr>
          <w:p>
            <w:pPr>
              <w:jc w:val="center"/>
            </w:pPr>
            <w:r>
              <w:rPr>
                <w:sz w:val="20"/>
              </w:rPr>
              <w:t>−10.4 percentage points</w:t>
            </w:r>
          </w:p>
        </w:tc>
      </w:tr>
      <w:tr>
        <w:tc>
          <w:tcPr>
            <w:tcW w:type="dxa" w:w="2268"/>
            <w:shd w:val="clear" w:color="auto" w:fill="FFFFFF"/>
          </w:tcPr>
          <w:p>
            <w:pPr>
              <w:jc w:val="center"/>
            </w:pPr>
            <w:r>
              <w:rPr>
                <w:sz w:val="20"/>
              </w:rPr>
              <w:t>Relative Reduction</w:t>
            </w:r>
          </w:p>
        </w:tc>
        <w:tc>
          <w:tcPr>
            <w:tcW w:type="dxa" w:w="2268"/>
            <w:shd w:val="clear" w:color="auto" w:fill="FFFFFF"/>
          </w:tcPr>
          <w:p>
            <w:pPr>
              <w:jc w:val="center"/>
            </w:pPr>
            <w:r>
              <w:rPr>
                <w:sz w:val="20"/>
              </w:rPr>
              <w:t>—</w:t>
            </w:r>
          </w:p>
        </w:tc>
        <w:tc>
          <w:tcPr>
            <w:tcW w:type="dxa" w:w="2268"/>
            <w:shd w:val="clear" w:color="auto" w:fill="FFFFFF"/>
          </w:tcPr>
          <w:p>
            <w:pPr>
              <w:jc w:val="center"/>
            </w:pPr>
            <w:r>
              <w:rPr>
                <w:sz w:val="20"/>
              </w:rPr>
              <w:t>20.5%</w:t>
            </w:r>
          </w:p>
        </w:tc>
        <w:tc>
          <w:tcPr>
            <w:tcW w:type="dxa" w:w="2268"/>
            <w:shd w:val="clear" w:color="auto" w:fill="FFFFFF"/>
          </w:tcPr>
          <w:p>
            <w:pPr>
              <w:jc w:val="center"/>
            </w:pPr>
            <w:r>
              <w:rPr>
                <w:sz w:val="20"/>
              </w:rPr>
              <w:t>✅ 20% target achieved</w:t>
            </w:r>
          </w:p>
        </w:tc>
      </w:tr>
      <w:tr>
        <w:tc>
          <w:tcPr>
            <w:tcW w:type="dxa" w:w="2268"/>
            <w:shd w:val="clear" w:color="auto" w:fill="EBF2FA"/>
          </w:tcPr>
          <w:p>
            <w:pPr>
              <w:jc w:val="center"/>
            </w:pPr>
            <w:r>
              <w:rPr>
                <w:sz w:val="20"/>
              </w:rPr>
              <w:t>Students at High+Critical</w:t>
            </w:r>
          </w:p>
        </w:tc>
        <w:tc>
          <w:tcPr>
            <w:tcW w:type="dxa" w:w="2268"/>
            <w:shd w:val="clear" w:color="auto" w:fill="EBF2FA"/>
          </w:tcPr>
          <w:p>
            <w:pPr>
              <w:jc w:val="center"/>
            </w:pPr>
            <w:r>
              <w:rPr>
                <w:sz w:val="20"/>
              </w:rPr>
              <w:t>1,169</w:t>
            </w:r>
          </w:p>
        </w:tc>
        <w:tc>
          <w:tcPr>
            <w:tcW w:type="dxa" w:w="2268"/>
            <w:shd w:val="clear" w:color="auto" w:fill="EBF2FA"/>
          </w:tcPr>
          <w:p>
            <w:pPr>
              <w:jc w:val="center"/>
            </w:pPr>
            <w:r>
              <w:rPr>
                <w:sz w:val="20"/>
              </w:rPr>
              <w:t>~920</w:t>
            </w:r>
          </w:p>
        </w:tc>
        <w:tc>
          <w:tcPr>
            <w:tcW w:type="dxa" w:w="2268"/>
            <w:shd w:val="clear" w:color="auto" w:fill="EBF2FA"/>
          </w:tcPr>
          <w:p>
            <w:pPr>
              <w:jc w:val="center"/>
            </w:pPr>
            <w:r>
              <w:rPr>
                <w:sz w:val="20"/>
              </w:rPr>
              <w:t>~21% reduction in high-risk</w:t>
            </w:r>
          </w:p>
        </w:tc>
      </w:tr>
    </w:tbl>
    <w:p/>
    <w:p>
      <w:pPr>
        <w:spacing w:before="360" w:after="160"/>
      </w:pPr>
      <w:r>
        <w:rPr>
          <w:b/>
          <w:color w:val="1B2A4A"/>
          <w:sz w:val="30"/>
        </w:rPr>
        <w:t>10.4 Limitations</w:t>
      </w:r>
    </w:p>
    <w:p>
      <w:pPr>
        <w:pStyle w:val="ListBullet"/>
        <w:spacing w:after="80" w:before="40"/>
      </w:pPr>
      <w:r>
        <w:rPr>
          <w:color w:val="404040"/>
          <w:sz w:val="21"/>
        </w:rPr>
        <w:t>The dataset does not include financial stress indicators, which may confound absences.</w:t>
      </w:r>
    </w:p>
    <w:p>
      <w:pPr>
        <w:pStyle w:val="ListBullet"/>
        <w:spacing w:after="80" w:before="40"/>
      </w:pPr>
      <w:r>
        <w:rPr>
          <w:color w:val="404040"/>
          <w:sz w:val="21"/>
        </w:rPr>
        <w:t>Self-reported study time may be subject to social desirability bias.</w:t>
      </w:r>
    </w:p>
    <w:p>
      <w:pPr>
        <w:pStyle w:val="ListBullet"/>
        <w:spacing w:after="80" w:before="40"/>
      </w:pPr>
      <w:r>
        <w:rPr>
          <w:color w:val="404040"/>
          <w:sz w:val="21"/>
        </w:rPr>
        <w:t>The risk model is correlational — causal claims require controlled experimental validation.</w:t>
      </w:r>
    </w:p>
    <w:p>
      <w:pPr>
        <w:pStyle w:val="ListBullet"/>
        <w:spacing w:after="80" w:before="40"/>
      </w:pPr>
      <w:r>
        <w:rPr>
          <w:color w:val="404040"/>
          <w:sz w:val="21"/>
        </w:rPr>
        <w:t>Intervention impact estimates use a linear GPA-lift model; actual results may vary.</w:t>
      </w:r>
    </w:p>
    <w:p/>
    <w:p>
      <w:pPr>
        <w:jc w:val="center"/>
      </w:pPr>
      <w:r>
        <w:rPr>
          <w:color w:val="E8A838"/>
          <w:sz w:val="20"/>
        </w:rPr>
        <w:t>────────────────────────────────────────────────────────────</w:t>
      </w:r>
    </w:p>
    <w:p>
      <w:pPr>
        <w:jc w:val="center"/>
      </w:pPr>
      <w:r>
        <w:rPr>
          <w:i/>
          <w:color w:val="8899AA"/>
          <w:sz w:val="18"/>
        </w:rPr>
        <w:t>Report generated: 21 February 2026  ·  Student Early Warning Dashboard  ·  Prachi Singh</w:t>
        <w:br/>
        <w:t>GitHub: https://github.com/prachisingh342006/data_analytics_project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