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8"/>
          <w:szCs w:val="48"/>
        </w:rPr>
        <w:t xml:space="preserve">Industrial Machine Maintenance</w:t>
      </w:r>
    </w:p>
    <w:p>
      <w:pPr>
        <w:spacing w:after="300"/>
        <w:jc w:val="center"/>
      </w:pPr>
      <w:r>
        <w:rPr>
          <w:b/>
          <w:bCs/>
          <w:color w:val="2E5EAA"/>
          <w:sz w:val="40"/>
          <w:szCs w:val="40"/>
        </w:rPr>
        <w:t xml:space="preserve">&amp; Spare-Parts Analysis Report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Prepared for: Plant Operations &amp; Maintenance Leadership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Data period: 3 January 2022 – 1 January 2025 | 10 Assets | 3 Plants</w:t>
      </w:r>
    </w:p>
    <w:p>
      <w:pPr>
        <w:spacing w:after="900"/>
        <w:jc w:val="center"/>
      </w:pPr>
      <w:r>
        <w:rPr>
          <w:i/>
          <w:iCs/>
          <w:color w:val="666666"/>
          <w:sz w:val="20"/>
          <w:szCs w:val="20"/>
        </w:rPr>
        <w:t xml:space="preserve">Prepared by: Data Analytics Team | 25 July 2026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sz w:val="21"/>
          <w:szCs w:val="21"/>
        </w:rPr>
        <w:t xml:space="preserve">This report analyses three years of daily sensor and spare-parts transaction data across 10 machines (5 machine types) in 3 plants, to understand where breakdowns happen, what they cost, and what warning signs appear before they occur.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Key numbers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spare-parts spend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₹1,33,40,945 (₹1.33 Crore)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work orders raised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42,793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Breakdown (unplanned) work orders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21,636 (50.6%)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 maintenance work orders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21,157 (49.4%)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Machines tracked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 across CNC Lathe, Hydraulic Press, Belt Conveyor, Screw Compressor, EOT Crane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Plants covered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PUN-01 (Pune), CHN-02 (Chennai), DHR-03 (Dhar)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Highest-spend part family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Bearings (₹32.60 Lakh, 24.4% of spend)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Costliest single part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Hydraulic Seal Kit 50mm Bore (₹28.48 Lakh)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Top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Reactive (breakdown) maintenance is almost as common as planned maintenance — nearly 1 in 2 work orders is a breakdown, which is a strong signal that preventive schedules are not catching problems early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Hydraulic Press and Screw Compressor machine types have the highest breakdown work-order counts, and are also close to the top in spend — they deserve first priority for a condition-monitoring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Bearings and Seals &amp; Gaskets together account for nearly half of total spare-parts spend and also lead in breakdown counts, making them the biggest cost and reliability lever.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breakdown days, machines run noticeably hotter, more loaded and draw more power — power consumption is 12.5% higher and load is 6.3% higher than on normal days, making these two the most useful early-warning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Plant DHR-03 has the highest breakdown rate (69.0%) among the three plants, even though it has fewer assets than PUN-01 — worth a local review of maintenance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Spend is fairly stable month-to-month (₹3–4.8 Lakh/month) but breakdown counts show mild seasonal bumps, generally rising toward Dec–Jan each year.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About the Data</w:t>
      </w:r>
    </w:p>
    <w:p>
      <w:pPr>
        <w:spacing w:after="140"/>
      </w:pPr>
      <w:r>
        <w:rPr>
          <w:sz w:val="21"/>
          <w:szCs w:val="21"/>
        </w:rPr>
        <w:t xml:space="preserve">The dataset contains 2,19,000 daily records covering 10 machines, each tracked with 20 spare-part lines, sensor readings and work-order details over a 3-year window.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What's in the 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 group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identity</w:t>
            </w:r>
          </w:p>
        </w:tc>
        <w:tc>
          <w:tcPr>
            <w:tcW w:type="dxa" w:w="60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 tag, machine type, plant code, criticality (A/B/C)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Parts &amp; cost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 number, description, family, unit cost, quantity issued, issue value</w:t>
            </w:r>
          </w:p>
        </w:tc>
      </w:tr>
      <w:tr>
        <w:tc>
          <w:tcPr>
            <w:tcW w:type="dxa" w:w="3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Condition sensors</w:t>
            </w:r>
          </w:p>
        </w:tc>
        <w:tc>
          <w:tcPr>
            <w:tcW w:type="dxa" w:w="60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Bearing temp, motor temp, horizontal &amp; vertical vibration, oil pressure, load %, shaft RPM, power (kW)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Maintenance events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Breakdown flag, work order type (Breakdown / Planned)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Machine fleet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 machine types, 2 machines each: CNC Lathe, Hydraulic Press, Belt Conveyor, Screw Compressor, EOT Crane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 plants: PUN-01 (4 machines), CHN-02 (3 machines), DHR-03 (3 machines)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9 spare-part families: Bearing, Seal &amp; Gasket, Drive Belt, Filter, Lubrication, Sensor, Fastener, Electrical, Coupling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Spare-Parts Spend Analysis</w:t>
      </w:r>
    </w:p>
    <w:p>
      <w:pPr>
        <w:spacing w:after="140"/>
      </w:pPr>
      <w:r>
        <w:rPr>
          <w:sz w:val="21"/>
          <w:szCs w:val="21"/>
        </w:rPr>
        <w:t xml:space="preserve">Total spend across the 3-year period is ₹1.33 Crore. This section breaks it down by part family, plant, machine type and the top individual parts driving cost.</w:t>
      </w:r>
    </w:p>
    <w:p>
      <w:pPr>
        <w:spacing w:after="200"/>
        <w:jc w:val="center"/>
      </w:pPr>
      <w:r>
        <w:drawing>
          <wp:inline distT="0" distB="0" distL="0" distR="0">
            <wp:extent cx="4300000" cy="36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1: Where the spend goes — Bearings and Seal &amp; Gasket parts together make up ~47% of all spend.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Spend by plant</w:t>
      </w:r>
    </w:p>
    <w:p>
      <w:pPr>
        <w:spacing w:after="200"/>
        <w:jc w:val="center"/>
      </w:pPr>
      <w:r>
        <w:drawing>
          <wp:inline distT="0" distB="0" distL="0" distR="0">
            <wp:extent cx="4200000" cy="3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2: PUN-01 has the highest total spend, but it also runs the most machines (4 of 10).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Spend by machine type and criticality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Machine 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Spend (₹)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Belt Conveyor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27,45,522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20.6%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Screw Compressor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27,14,335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20.3%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EOT Crane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26,42,723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19.8%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Hydraulic Press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26,32,803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19.7%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CNC Lathe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26,05,562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19.5%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Criticality-A (most critical) assets account for ₹68.87 Lakh — 51.6% of total spend — despite being a smaller share of the fleet, confirming spend is correctly weighted toward critical equipment.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Criticality-B assets: ₹49.34 Lakh (37.0%); Criticality-C: ₹15.20 Lakh (11.4%).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Top 10 parts by spend</w:t>
      </w:r>
    </w:p>
    <w:p>
      <w:pPr>
        <w:spacing w:after="200"/>
        <w:jc w:val="center"/>
      </w:pPr>
      <w:r>
        <w:drawing>
          <wp:inline distT="0" distB="0" distL="0" distR="0">
            <wp:extent cx="4600000" cy="34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3: The Hydraulic Seal Kit alone accounts for over ₹28 Lakh — more than double the next item.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Breakdown &amp; Work Order Analysis</w:t>
      </w:r>
    </w:p>
    <w:p>
      <w:pPr>
        <w:spacing w:after="200"/>
        <w:jc w:val="center"/>
      </w:pPr>
      <w:r>
        <w:drawing>
          <wp:inline distT="0" distB="0" distL="0" distR="0">
            <wp:extent cx="3600000" cy="36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4: Roughly half of all work orders are unplanned breakdowns rather than planned maintenance — a sign of a largely reactive maintenance approach.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Breakdowns by machine type</w:t>
      </w:r>
    </w:p>
    <w:p>
      <w:pPr>
        <w:spacing w:after="200"/>
        <w:jc w:val="center"/>
      </w:pPr>
      <w:r>
        <w:drawing>
          <wp:inline distT="0" distB="0" distL="0" distR="0">
            <wp:extent cx="4600000" cy="29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5: Hydraulic Press and Screw Compressor lead in breakdown work orders.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Breakdowns by asset criticality</w:t>
      </w:r>
    </w:p>
    <w:p>
      <w:pPr>
        <w:spacing w:after="200"/>
        <w:jc w:val="center"/>
      </w:pPr>
      <w:r>
        <w:drawing>
          <wp:inline distT="0" distB="0" distL="0" distR="0">
            <wp:extent cx="3600000" cy="36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6: Criticality-B assets actually see the most breakdown events (43.3%), ahead of Criticality-A (38.8%) — worth investigating why 'less critical' assets are breaking down more.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Breakdowns by part family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 Family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Breakdown Work Orders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Bearing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4,221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19.5%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Seal &amp; Gasket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3,118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14.4%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Sensor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2,454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11.3%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Electrical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2,417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11.2%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2,136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9.9%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 Belt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2,134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9.9%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Coupling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1,987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9.2%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Fastener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1,626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7.5%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Lubrication</w:t>
            </w:r>
          </w:p>
        </w:tc>
        <w:tc>
          <w:tcPr>
            <w:tcW w:type="dxa" w:w="3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1,543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7.1%</w:t>
            </w:r>
          </w:p>
        </w:tc>
      </w:tr>
    </w:tbl>
    <w:p/>
    <w:p>
      <w:pPr>
        <w:spacing w:after="140"/>
      </w:pPr>
      <w:r>
        <w:rPr>
          <w:sz w:val="21"/>
          <w:szCs w:val="21"/>
        </w:rPr>
        <w:t xml:space="preserve">Bearings are the single biggest contributor to breakdowns, consistent with them also being the top spend item — reinforcing bearings as the number-one focus area for reliability improvement.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Which specific assets break down most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 Tag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Breakdown Work Orders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AST-2017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2,647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AST-5003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2,565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AST-4055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2,558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AST-2031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2,311</w:t>
            </w:r>
          </w:p>
        </w:tc>
      </w:tr>
      <w:tr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AST-4061</w:t>
            </w:r>
          </w:p>
        </w:tc>
        <w:tc>
          <w:tcPr>
            <w:tcW w:type="dxa" w:w="4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2,102</w:t>
            </w:r>
          </w:p>
        </w:tc>
      </w:tr>
    </w:tbl>
    <w:p/>
    <w:p>
      <w:pPr>
        <w:spacing w:after="140"/>
      </w:pPr>
      <w:r>
        <w:rPr>
          <w:sz w:val="21"/>
          <w:szCs w:val="21"/>
        </w:rPr>
        <w:t xml:space="preserve">These five assets alone account for over half of all breakdown events and are strong candidates for a focused root-cause review or replacement study.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Early-Warning Signals: Sensor Behaviour Before Breakdown</w:t>
      </w:r>
    </w:p>
    <w:p>
      <w:pPr>
        <w:spacing w:after="140"/>
      </w:pPr>
      <w:r>
        <w:rPr>
          <w:sz w:val="21"/>
          <w:szCs w:val="21"/>
        </w:rPr>
        <w:t xml:space="preserve">Comparing average sensor readings on days when a breakdown occurred against normal days shows which signals are the most reliable early warning indicators.</w:t>
      </w:r>
    </w:p>
    <w:p>
      <w:pPr>
        <w:spacing w:after="200"/>
        <w:jc w:val="center"/>
      </w:pPr>
      <w:r>
        <w:drawing>
          <wp:inline distT="0" distB="0" distL="0" distR="0">
            <wp:extent cx="4800000" cy="29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7: Power consumption and load % rise the most on breakdown days, making them the strongest predictive signals; temperature and vibration shift only slightly.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400"/>
        <w:gridCol w:w="1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Sensor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Normal Days (avg)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Breakdown Days (avg)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Higher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 consumption (kW)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26.13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29.40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+12.5%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(%)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67.92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72.18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+6.3%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vibration (mm/s)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2.89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3.02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+4.5%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 vibration (mm/s)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3.85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+4.4%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Oil pressure (bar)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5.00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5.08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+1.6%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 temperature (°C)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71.06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71.33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+0.4%</w:t>
            </w:r>
          </w:p>
        </w:tc>
      </w:tr>
      <w:tr>
        <w:tc>
          <w:tcPr>
            <w:tcW w:type="dxa" w:w="3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Bearing temperature (°C)</w:t>
            </w:r>
          </w:p>
        </w:tc>
        <w:tc>
          <w:tcPr>
            <w:tcW w:type="dxa" w:w="22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65.08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65.25</w:t>
            </w:r>
          </w:p>
        </w:tc>
        <w:tc>
          <w:tcPr>
            <w:tcW w:type="dxa" w:w="1600"/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+0.3%</w:t>
            </w:r>
          </w:p>
        </w:tc>
      </w:tr>
    </w:tbl>
    <w:p/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What this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Power consumption is the single most useful leading indicator in this dataset — a sustained rise is worth flagging for inspection before a breakdown work order is raised.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Load % moving up in tandem with power draw strengthens the signal — the two together could form a simple two-variable alert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Temperature and vibration shift only marginally around breakdown events in this data, so on their own they are weaker predictors here, though they remain standard safety and condition checks.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Trend Over Time</w:t>
      </w:r>
    </w:p>
    <w:p>
      <w:pPr>
        <w:spacing w:after="200"/>
        <w:jc w:val="center"/>
      </w:pPr>
      <w:r>
        <w:drawing>
          <wp:inline distT="0" distB="0" distL="0" distR="0">
            <wp:extent cx="6200000" cy="26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8: Monthly spend (blue, left axis) versus breakdown work orders (red, right axis), Jan 2022 – Dec 2024.</w:t>
      </w:r>
    </w:p>
    <w:p>
      <w:pPr>
        <w:spacing w:after="140"/>
      </w:pPr>
      <w:r>
        <w:rPr>
          <w:sz w:val="21"/>
          <w:szCs w:val="21"/>
        </w:rPr>
        <w:t xml:space="preserve">Spend stays in a fairly narrow band of ₹3.0–4.8 Lakh per month, with recurring spikes around March, June, September and December — consistent with quarterly planned-maintenance cycles. Breakdown work orders fluctuate between roughly 500 and 690 per month without a strong long-term upward or downward trend, meaning the underlying breakdown rate has stayed broadly steady across the 3 years rather than improving.</w:t>
      </w:r>
    </w:p>
    <w:p>
      <w:r>
        <w:br w:type="page"/>
      </w:r>
    </w:p>
    <w:p>
      <w:pPr>
        <w:pStyle w:val="Heading1"/>
        <w:pBdr>
          <w:bottom w:val="single" w:color="2E5EAA" w:sz="8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Recommendations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Immediate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Prioritise a reliability review on the top 5 breakdown-prone assets (AST-2017, AST-5003, AST-4055, AST-2031, AST-4061) — they drive over half of all breakdown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a monitoring alert on power consumption and load % — these showed the clearest gap between normal and breakdown days and are the most actionable early-warning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Standardise bearing replacement intervals — bearings are simultaneously the top spend item and the top breakdown contributor, so small reliability gains here have outsized cost impact.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Medium-term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Shift the maintenance mix from reactive to planned — with breakdown work orders at 50.6% of the total, moving even 10-15 percentage points toward planned maintenance should reduce both downtime and emergency-purchase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Review maintenance practices at plant DHR-03, which has the highest breakdown rate (69.0%) despite a smaller fleet than PUN-01.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Investigate why Criticality-B assets show more breakdowns than Criticality-A assets — criticality classification may need to be revisited, or B-class assets may be under-maintained relative to their actual duty.</w:t>
      </w:r>
    </w:p>
    <w:p>
      <w:pPr>
        <w:pStyle w:val="Heading2"/>
        <w:spacing w:after="120" w:before="260"/>
      </w:pPr>
      <w:r>
        <w:rPr>
          <w:b/>
          <w:bCs/>
          <w:color w:val="2E5EAA"/>
          <w:sz w:val="24"/>
          <w:szCs w:val="24"/>
        </w:rPr>
        <w:t xml:space="preserve">Data &amp; process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Extend sensor logging to include a derived 'load-power ratio' metric, which may sharpen the early-warning signal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Track mean-time-between-failures (MTBF) per asset going forward to complement this spend/breakdown-count view with a reliability-engineering perspective.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Report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08f1b1812661e8f823c6fc7bc1ef0e4a4fbabb.png"/><Relationship Id="rId8" Type="http://schemas.openxmlformats.org/officeDocument/2006/relationships/image" Target="media/c152b8a0c941fb3d1f8dc78d86a588169b3cb284.png"/><Relationship Id="rId9" Type="http://schemas.openxmlformats.org/officeDocument/2006/relationships/image" Target="media/7f6c2fc329e7cd38781e2a68149e193d777ac53c.png"/><Relationship Id="rId10" Type="http://schemas.openxmlformats.org/officeDocument/2006/relationships/image" Target="media/05efd048318fdc36c09183eff4c06ba619c026dd.png"/><Relationship Id="rId11" Type="http://schemas.openxmlformats.org/officeDocument/2006/relationships/image" Target="media/9f7661b3a678f19398f1891f771e1e046f95d519.png"/><Relationship Id="rId12" Type="http://schemas.openxmlformats.org/officeDocument/2006/relationships/image" Target="media/3a0c590c7557324f326ef052e298ac2e391f01b6.png"/><Relationship Id="rId13" Type="http://schemas.openxmlformats.org/officeDocument/2006/relationships/image" Target="media/8aca9f6b01de2cd5909c3fac18dec39bee27213e.png"/><Relationship Id="rId14" Type="http://schemas.openxmlformats.org/officeDocument/2006/relationships/image" Target="media/5ceab61e18a09836e3ddb367b39aa9b15628196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2026-07-25T06:05:33.034Z</dcterms:created>
  <dcterms:modified xsi:type="dcterms:W3CDTF">2026-07-25T06:05:33.045Z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