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kvfm3wz7u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Глубокое исследование рынка приложений для учёта персональных финансов с AI: B2C и B2B-приложения, динамика рынка, ключевые тенденции и объём в рублях (2025)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oy5l2kadd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приложений для учёта персональных финансов (Personal Finance Management, PFM) переживает настоящую технологическую революцию за счёт интеграции искусственного интеллекта (AI). Стремительная цифровизация, поддержка финансовых сервисов государством и растущий спрос пользователей на автоматизацию финансового учёта выдвигают PFM-приложения в лидеры финтех-рынка России и мира. Данный отчёт охватывает как B2C, так и B2B решения, анализирует цифровые и гибридные модели, особенности монетизации, технологический функционал, ключевые сегменты, динамику и объём рынка в рублях, а также политико-правовое и инвестиционное окружение. Исследование подготовлено в соответствии с магистерским уровнем по дисциплине "Оценка рынка" с акцентом на определение ёмкости, динамики, платёжеспособности аудитории и конкурентных преимуществ AI-технологий.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io3tqs2oym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Основные тенденции рынка PFM с AI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gk9tolx3s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Глобальные и российские тренды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Внедрение искусственного интеллекта трансформирует не только функционал PFM, но и всю логику работы с финансовыми данными. Современные приложения превращаются в персональных ассистентов, способных не просто фиксировать расходы, но и прогнозировать бюджеты, выявлять аномалии, формировать рекомендации и автоматически оптимизировать траты пользователя.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AI-платформы становятся стандартом для аналитики, выявления паттернов пользовательского поведения, автоматизации процессов и работы с большими массивами данных как в B2C, так и в B2B-сегменте. Следующий рубеж — распространение генеративного ИИ (LLM), применение предиктивной аналитики, интеграция с экосистемами банков и гибридных сервисов (оффлайн + онлайн).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6b66c0hgi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Цифровизация и проникновение PFM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Доля цифровизации финансовых услуг для населения России в 2023 году превысила 83%, а среди юридических лиц — 80%. Безналичные операции достигли 83,4% в обороте розницы, что свидетельствует о готовности аудитории к цифровым решениям во всех регионах страны. Сегмент вырос в 12 раз по числу пользователей за последний год, что говорит о взрывном спросе на инструменты управления личными и корпоративными финансами.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fw9t1nkaen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Стратегические рубежи развития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Фокус на AI и big data</w:t>
      </w:r>
      <w:r w:rsidDel="00000000" w:rsidR="00000000" w:rsidRPr="00000000">
        <w:rPr>
          <w:rtl w:val="0"/>
        </w:rPr>
        <w:t xml:space="preserve">: Оптимизация расходов, индивидуальные рекомендации, автоматизация набора и анализа данных — ключевые преимущества AI-PFM.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Рост числа операторов и продуктов</w:t>
      </w:r>
      <w:r w:rsidDel="00000000" w:rsidR="00000000" w:rsidRPr="00000000">
        <w:rPr>
          <w:rtl w:val="0"/>
        </w:rPr>
        <w:t xml:space="preserve">: В 2024 году зарегистрировано 10 операторов финансовых платформ (маркетплейсов), предлагающих не только классические PFM, но и интеграцию вкладов, страховок, карт, облигаций.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Переход к open finance и open API</w:t>
      </w:r>
      <w:r w:rsidDel="00000000" w:rsidR="00000000" w:rsidRPr="00000000">
        <w:rPr>
          <w:rtl w:val="0"/>
        </w:rPr>
        <w:t xml:space="preserve">: Открытые интерфейсы для обмена данными между приложениями и банками запускаются с участием Центробанка и Ассоциации ФинТех.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Регуляторная база для AI/PFM</w:t>
      </w:r>
      <w:r w:rsidDel="00000000" w:rsidR="00000000" w:rsidRPr="00000000">
        <w:rPr>
          <w:rtl w:val="0"/>
        </w:rPr>
        <w:t xml:space="preserve">: Федеральные законы обеспечивают обезличивание и передачу персональных данных для обучения моделей AI, а также защищают интересы пользователей.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bcypgyq3tf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Оценка объёма рынка PFM-приложений в России и мире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rev3251ya5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Общий объём рынка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Объём рынка цифровых финансовых активов (ЦФА), включая платформы для учета и управления средствами, в России на конец 2025 года — </w:t>
      </w:r>
      <w:r w:rsidDel="00000000" w:rsidR="00000000" w:rsidRPr="00000000">
        <w:rPr>
          <w:b w:val="1"/>
          <w:rtl w:val="0"/>
        </w:rPr>
        <w:t xml:space="preserve">1 триллион рублей</w:t>
      </w:r>
      <w:r w:rsidDel="00000000" w:rsidR="00000000" w:rsidRPr="00000000">
        <w:rPr>
          <w:rtl w:val="0"/>
        </w:rPr>
        <w:t xml:space="preserve"> (по данным участников и официальных лиц).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финансовых платформах за первые полгода 2024 года было совершено сделок на </w:t>
      </w:r>
      <w:r w:rsidDel="00000000" w:rsidR="00000000" w:rsidRPr="00000000">
        <w:rPr>
          <w:b w:val="1"/>
          <w:rtl w:val="0"/>
        </w:rPr>
        <w:t xml:space="preserve">259,6 млрд рублей</w:t>
      </w:r>
      <w:r w:rsidDel="00000000" w:rsidR="00000000" w:rsidRPr="00000000">
        <w:rPr>
          <w:rtl w:val="0"/>
        </w:rPr>
        <w:t xml:space="preserve">, причём за II квартал объём достиг </w:t>
      </w:r>
      <w:r w:rsidDel="00000000" w:rsidR="00000000" w:rsidRPr="00000000">
        <w:rPr>
          <w:b w:val="1"/>
          <w:rtl w:val="0"/>
        </w:rPr>
        <w:t xml:space="preserve">68,8 млрд рублей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2,9 млн пользователей</w:t>
      </w:r>
      <w:r w:rsidDel="00000000" w:rsidR="00000000" w:rsidRPr="00000000">
        <w:rPr>
          <w:rtl w:val="0"/>
        </w:rPr>
        <w:t xml:space="preserve"> на российских PFM-платформах (2024), прирост аудитории за год — в 12 раз.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jc4vdey7thc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Таблица: Основные показатели цифрового рынка финансовых платформ РФ (2024)</w:t>
      </w:r>
    </w:p>
    <w:tbl>
      <w:tblPr>
        <w:tblStyle w:val="Table1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105"/>
        <w:tblGridChange w:id="0">
          <w:tblGrid>
            <w:gridCol w:w="315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Общий объём сделок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259,6 млрд рублей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Объём за II квартал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68,8 млрд рублей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2,9 млн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Рост пользователей (год/год)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в 12 раз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чётко видно, что рынок растёт экстремально быстрыми темпами. И хотя 99% объёма пока занимает классика (депозиты, вклады), сегмент PFM активных приложений демонстрирует именно качественный скачок — интеграцию с AI, big data, цифровым рублём, open API и биометрической идентификацией.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8pderrgl0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Прогнозы роста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Сегмент глобального рынка PFM- и финансовых приложений</w:t>
      </w:r>
      <w:r w:rsidDel="00000000" w:rsidR="00000000" w:rsidRPr="00000000">
        <w:rPr>
          <w:rtl w:val="0"/>
        </w:rPr>
        <w:t xml:space="preserve"> в 2024 году оценивался примерно в </w:t>
      </w:r>
      <w:r w:rsidDel="00000000" w:rsidR="00000000" w:rsidRPr="00000000">
        <w:rPr>
          <w:b w:val="1"/>
          <w:rtl w:val="0"/>
        </w:rPr>
        <w:t xml:space="preserve">$1,2–44,08 млрд</w:t>
      </w:r>
      <w:r w:rsidDel="00000000" w:rsidR="00000000" w:rsidRPr="00000000">
        <w:rPr>
          <w:rtl w:val="0"/>
        </w:rPr>
        <w:t xml:space="preserve"> (по разным методологиям, включая сферу PFM и финтех-инструментов), с прогнозируемым CAGR 12,5% (мировой PFM)/2,9% (AI+Fintech), и ожидаемым объёмом $3,5 млрд к 2033 году по только PFM-приложениям.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Российский рынок AI-сервисов в финансах прогнозируется с ростом </w:t>
      </w:r>
      <w:r w:rsidDel="00000000" w:rsidR="00000000" w:rsidRPr="00000000">
        <w:rPr>
          <w:b w:val="1"/>
          <w:rtl w:val="0"/>
        </w:rPr>
        <w:t xml:space="preserve">25% к 2028 году</w:t>
      </w:r>
      <w:r w:rsidDel="00000000" w:rsidR="00000000" w:rsidRPr="00000000">
        <w:rPr>
          <w:rtl w:val="0"/>
        </w:rPr>
        <w:t xml:space="preserve"> и объёмом &gt;1 трлн руб. в ЦФА/AI-финтех-составах.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hiy57dhb7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B2B-сектор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корпоративных клиентов (малые и средние предприятия, бухгалтерии, управляющие компании) объём операций через финансовые платформы уже превысил </w:t>
      </w:r>
      <w:r w:rsidDel="00000000" w:rsidR="00000000" w:rsidRPr="00000000">
        <w:rPr>
          <w:b w:val="1"/>
          <w:rtl w:val="0"/>
        </w:rPr>
        <w:t xml:space="preserve">190,5 млрд рублей</w:t>
      </w:r>
      <w:r w:rsidDel="00000000" w:rsidR="00000000" w:rsidRPr="00000000">
        <w:rPr>
          <w:rtl w:val="0"/>
        </w:rPr>
        <w:t xml:space="preserve"> за последние два года, из которых субъекты МСП привлекли свыше 7,1 млрд руб.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a5uivoxwdp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Oценка доли рынка с AI-фокусом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</w:t>
      </w:r>
      <w:r w:rsidDel="00000000" w:rsidR="00000000" w:rsidRPr="00000000">
        <w:rPr>
          <w:b w:val="1"/>
          <w:rtl w:val="0"/>
        </w:rPr>
        <w:t xml:space="preserve">55% участников финансового рынка</w:t>
      </w:r>
      <w:r w:rsidDel="00000000" w:rsidR="00000000" w:rsidRPr="00000000">
        <w:rPr>
          <w:rtl w:val="0"/>
        </w:rPr>
        <w:t xml:space="preserve"> уже используют ИИ-технологии; среди крупных российских компаний — доля генеративного ИИ достигла 20% (2024).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8v68qkai6k2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Сравнение с международным рынком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Россия входит в ТОП-10 стран по разработке и внедрению собственных AI-решений и платёжных инфраструктур. Примечательно, что доля проникновения и цифровизации сопоставима с Северной Америкой и Европой, но в крупных городах проникновение AI и PFM-решений выше, чем во многих странах ЕС.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e8s4ks6rjse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Ключевые игроки и сравнительный анализ PFM-приложений с AI-функционалом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iiukfj385m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Ведущие приложения: Российский рынок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Российские PFM-сервисы, лидирующие по числу загрузок и количеству пользователей: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8.5421802760345"/>
        <w:gridCol w:w="1495.1194760672263"/>
        <w:gridCol w:w="1001.9648844848427"/>
        <w:gridCol w:w="1037.190212455013"/>
        <w:gridCol w:w="908.0306765643887"/>
        <w:gridCol w:w="1260.2839562660913"/>
        <w:gridCol w:w="790.6129166638211"/>
        <w:gridCol w:w="1283.7675082462047"/>
        <w:tblGridChange w:id="0">
          <w:tblGrid>
            <w:gridCol w:w="1248.5421802760345"/>
            <w:gridCol w:w="1495.1194760672263"/>
            <w:gridCol w:w="1001.9648844848427"/>
            <w:gridCol w:w="1037.190212455013"/>
            <w:gridCol w:w="908.0306765643887"/>
            <w:gridCol w:w="1260.2839562660913"/>
            <w:gridCol w:w="790.6129166638211"/>
            <w:gridCol w:w="1283.767508246204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Автоматизация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Бот/Советник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Прогнозы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Импорт с банков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Совместный 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BI-отчёты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Поддержка бизнес-счетов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CoinKeeper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да (базово)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Дзен-мани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+ (до 20 банков)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да (расширенно)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Monefy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базово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Деньги 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есть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Money 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Goodbudget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базово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Пояснения к таблице:</w:t>
        <w:br w:type="textWrapping"/>
      </w:r>
      <w:r w:rsidDel="00000000" w:rsidR="00000000" w:rsidRPr="00000000">
        <w:rPr>
          <w:rtl w:val="0"/>
        </w:rPr>
        <w:t xml:space="preserve"> Дзен-мани и CoinKeeper лидируют по комплексности AI-функций, наличию инструмента планирования бюджета, прогнозов и советов на базе встроенного AI/FI (финансового интеллекта). Дзен-мани напрямую интегрируется с несколькими десятками российских банков (через официальный API и сканирование чеков), выделяется наличием предиктивной аналитики. Monefy и Goodbudget, в свою очередь, делают ставку на простоту, но менее продвинуты в AI-автоматизации.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2skm43b0lm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Ведущие международные решения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фоне российских приложений такие международные сервисы, как Mint, YNAB, Spendee, Wally и RocketMoney, предлагают расширенные AI-решения, но зачастую имеют ограничения по поддержке российских банков и локальным нормативам.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9.8156021232173"/>
        <w:gridCol w:w="1376.895172448492"/>
        <w:gridCol w:w="836.2295288168852"/>
        <w:gridCol w:w="955.1759704158388"/>
        <w:gridCol w:w="1409.3351110663887"/>
        <w:gridCol w:w="728.096400090564"/>
        <w:gridCol w:w="1139.0022892505851"/>
        <w:gridCol w:w="1430.9617368116528"/>
        <w:tblGridChange w:id="0">
          <w:tblGrid>
            <w:gridCol w:w="1149.8156021232173"/>
            <w:gridCol w:w="1376.895172448492"/>
            <w:gridCol w:w="836.2295288168852"/>
            <w:gridCol w:w="955.1759704158388"/>
            <w:gridCol w:w="1409.3351110663887"/>
            <w:gridCol w:w="728.096400090564"/>
            <w:gridCol w:w="1139.0022892505851"/>
            <w:gridCol w:w="1430.96173681165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Автоматизация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Прогнозы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Синхронизация с банками (РФ)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BI-отчёты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Совместные бюджеты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Специализация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Личные финансы/инвестиции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YNAB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Бюджетирование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Spendee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Семейный бюджет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Wally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частично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Личные финансы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ifdp5nhm59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B2B-решения с AI: российские и мировые игроки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платформы для бизнеса — это облачные мультибанковские решения с AI/ML-аналитикой для бухгалтерии, инвестиционного управления, расчёта налогов, скоринга: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Российские</w:t>
      </w:r>
      <w:r w:rsidDel="00000000" w:rsidR="00000000" w:rsidRPr="00000000">
        <w:rPr>
          <w:rtl w:val="0"/>
        </w:rPr>
        <w:t xml:space="preserve">: Cloud-бухгалтерия Контур, Мое Дело, 1С-БухОбслуживание, СберБизнес (AI-кадровик, AI-антифрод, скоринг), Тинькофф Бизнес — отчётность и автоматизация на AI.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Международные</w:t>
      </w:r>
      <w:r w:rsidDel="00000000" w:rsidR="00000000" w:rsidRPr="00000000">
        <w:rPr>
          <w:rtl w:val="0"/>
        </w:rPr>
        <w:t xml:space="preserve">: QuickBooks AI-Assistant, Sage AI Cloud, AccountsIQ, Zoho Books AI, Xero AI-аналитика, Docyt AI, Botkeeper, Truewind.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Тенденция последних лет — интеграция чат-ботов для бухгалтерии (Botkeeper, Docyt), автоматизация операций, предиктивные оценки и фрод-мониторинг, а также автоматизация сканирования и разметки документов (OCR+AI).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Полный список топ-15 AI-решений для PFM и бизнеса</w:t>
      </w:r>
      <w:r w:rsidDel="00000000" w:rsidR="00000000" w:rsidRPr="00000000">
        <w:rPr>
          <w:rtl w:val="0"/>
        </w:rPr>
        <w:t xml:space="preserve"> содержится в обзоре SqueezeGrowth и Creati.ai (см. ссылки). Все они акцентируют внимание на автоматизации рутины, интеграции с внешними сервисами и мобильности.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ap4n392n6k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Функции AI для PFM (инновации и стандарты рынка)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Автоматизация ввода расходов, импорт по API, сканирование чеков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AI-анализ паттернов трат</w:t>
      </w:r>
      <w:r w:rsidDel="00000000" w:rsidR="00000000" w:rsidRPr="00000000">
        <w:rPr>
          <w:rtl w:val="0"/>
        </w:rPr>
        <w:t xml:space="preserve"> и выявление аномалий;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Индивидуальные бюджетные рекомендации</w:t>
      </w:r>
      <w:r w:rsidDel="00000000" w:rsidR="00000000" w:rsidRPr="00000000">
        <w:rPr>
          <w:rtl w:val="0"/>
        </w:rPr>
        <w:t xml:space="preserve"> — push-уведомления на базе прогнозной аналитики;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AI-предсказание доходов и остатка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Чат-боты и голосовые ассистенты</w:t>
      </w:r>
      <w:r w:rsidDel="00000000" w:rsidR="00000000" w:rsidRPr="00000000">
        <w:rPr>
          <w:rtl w:val="0"/>
        </w:rPr>
        <w:t xml:space="preserve"> для поддержки и мотивационного коучинга;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Кастомизация под цели пользователя</w:t>
      </w:r>
      <w:r w:rsidDel="00000000" w:rsidR="00000000" w:rsidRPr="00000000">
        <w:rPr>
          <w:rtl w:val="0"/>
        </w:rPr>
        <w:t xml:space="preserve"> с помощи AI;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Интеграция с инвестиционными платформами</w:t>
      </w:r>
      <w:r w:rsidDel="00000000" w:rsidR="00000000" w:rsidRPr="00000000">
        <w:rPr>
          <w:rtl w:val="0"/>
        </w:rPr>
        <w:t xml:space="preserve">, управлением подписками, кредитами, инвестициями ("Super-app" логика).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airrpjiefr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 Модели монетизации PFM-приложений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n6yaix63d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Основные модели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8.3953341610195"/>
        <w:gridCol w:w="2075.5367653427816"/>
        <w:gridCol w:w="2940.7377404173353"/>
        <w:gridCol w:w="2330.841971102486"/>
        <w:tblGridChange w:id="0">
          <w:tblGrid>
            <w:gridCol w:w="1678.3953341610195"/>
            <w:gridCol w:w="2075.5367653427816"/>
            <w:gridCol w:w="2940.7377404173353"/>
            <w:gridCol w:w="2330.84197110248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Модель монетизации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Распространённость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Freemium + подписка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CoinKeeper, Дзен-мани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Бесплатная базовая версия, расширенные отчёты и AI только по подписке (от 150 до 4990 руб/год)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Самая массовая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Покупки в приложении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Money Lover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Разовые или пакетные улучшения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Средне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Реклама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Moneon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Бесплатное приложение, монетизация за счёт показа рекламы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Платная 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Goodbudget (Pro)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Полный функционал только после оплаты (1-5 тыс. руб/год)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Традиционна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B2B SaaS подписка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Docyt, БухОбслуживание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Оплата за пользователя (от 199 руб/мес до кастомных тарифов для бизнеса)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Растёт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 за платежи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 банками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Комиссия/fee c транзакций (особенно для международных переводов, B2B оплаты)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Дополнительно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Партнерские программы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Альфа-Банк, СберБизнес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CPA/RevShare, когда партнёр (маркетплейс/инфлюенсер/CPA) получает % от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Растёт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Анализ моделей:</w:t>
        <w:br w:type="textWrapping"/>
      </w:r>
      <w:r w:rsidDel="00000000" w:rsidR="00000000" w:rsidRPr="00000000">
        <w:rPr>
          <w:rtl w:val="0"/>
        </w:rPr>
        <w:t xml:space="preserve"> Freemium-подписки доминируют для B2C: главный стимул — максимальное распространение базового приложения, монетизация за счёт премиум-отчётов, AI-функций, интеграций. B2B-доминирует SaaS: сервисы консолидируют юридические лица, бухгалтерии, HR и кассы, монетизируются через оплату подписки, дополнительных сервисов (финотчёты, облачное хранение, кадровые функции).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Средняя стоимость платной подписки российских приложений в 2025:</w:t>
        <w:br w:type="textWrapping"/>
      </w:r>
      <w:r w:rsidDel="00000000" w:rsidR="00000000" w:rsidRPr="00000000">
        <w:rPr>
          <w:rtl w:val="0"/>
        </w:rPr>
        <w:t xml:space="preserve"> от 99 до 499 руб. в месяц или от 1290 до 4990 руб. в год (различается по платформам: iOS чаще дороже, чем Android).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refxbqpk1d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5. Цифровые и гибридные PFM-платформы: инфраструктура и перспективы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mpzjd6u20r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Цифровые платформы и open finance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драйвер роста рынка — появление инфраструктур для "открытых финансов". Запущены 10 финансовых маркетплейсов (на 2024 г.), такие как Платформа быстрых платежей (СБП), цифровой профиль, цифровой рубль, open API для синхронизации приложений с банковскими системами.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Глобальные успехи:</w:t>
        <w:br w:type="textWrapping"/>
      </w:r>
      <w:r w:rsidDel="00000000" w:rsidR="00000000" w:rsidRPr="00000000">
        <w:rPr>
          <w:rtl w:val="0"/>
        </w:rPr>
        <w:t xml:space="preserve"> Россия входит в число немногих стран, где вся трёхуровневая архитектура национальной цифровой инфраструктуры реализована — цифровой рубль, СБП, open banking. Это создаёт уникальную основу для развития гибридных PFM-решений: объединение мобильных приложений, интеграцию кредитов, вкладов, карт, страхования, инвестиций на одной платформе с поддержкой AI-аналитики.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yy7cqj91r5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Гибридные модели (онлайн + офлайн)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Гибридные решения включают в себя: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Онлайн-кабинет + физическая поддержка через кастомизированные сервисы (call-центры, банковские отделения);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консультации и сопровождения пользователя в традиционных офисах при параллельном использовании диджитал-интерфейса;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Гибридные интеграции в корпоративных платформах: бухгалтерия + предиктивная AI-аналитика + офлайн-поддержка специалистов.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emtoig5la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Географическая сегментация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II квартала 2024 года, </w:t>
      </w:r>
      <w:r w:rsidDel="00000000" w:rsidR="00000000" w:rsidRPr="00000000">
        <w:rPr>
          <w:b w:val="1"/>
          <w:rtl w:val="0"/>
        </w:rPr>
        <w:t xml:space="preserve">36 субъектов РФ</w:t>
      </w:r>
      <w:r w:rsidDel="00000000" w:rsidR="00000000" w:rsidRPr="00000000">
        <w:rPr>
          <w:rtl w:val="0"/>
        </w:rPr>
        <w:t xml:space="preserve"> в пилотах внедрили социальные карты с финансовым функционалом; особое внимание уделено малонаселенным и удалённым регионам, где гибридные и онлайн-PFM снижают издержки доступа к финансовым услугам (расширение пользователей за счёт СБП, цифрового рубля, биометрических систем идентификации).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jf3t7173agi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6. Клиентские сегменты, пользовательское поведение и готовность платить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u72lzg3cay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Сегментация и поведенческие паттерны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2.7824272096948"/>
        <w:gridCol w:w="1777.6806919564601"/>
        <w:gridCol w:w="1749.3134468720484"/>
        <w:gridCol w:w="3635.7352449854193"/>
        <w:tblGridChange w:id="0">
          <w:tblGrid>
            <w:gridCol w:w="1862.7824272096948"/>
            <w:gridCol w:w="1777.6806919564601"/>
            <w:gridCol w:w="1749.3134468720484"/>
            <w:gridCol w:w="3635.73524498541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Сегмент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Готовность платить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Кейсовое использование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Молодёжь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18-35 лет, digital-native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для подписки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Персональные финансы, трекинг расходов, микросбережения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Семьи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25-55 лет, семейный бюджет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Совместное планирование, анализ общего бюджета, детские карты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Самозанятые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18-55 лет, фриланс/бизнес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 в B2B-сегменте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счетами, учет налогов, автоматизация отчетности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МСП/корпоративные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Бизнес, юр.лица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Автоматизированная бухгалтерия, интеграция с банком, AI-скоринг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Финансовые профи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Брокеры, инвесторы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AI для портфельной аналитики, отчетности по активам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Демографический профиль:</w:t>
        <w:br w:type="textWrapping"/>
      </w:r>
      <w:r w:rsidDel="00000000" w:rsidR="00000000" w:rsidRPr="00000000">
        <w:rPr>
          <w:rtl w:val="0"/>
        </w:rPr>
        <w:t xml:space="preserve"> 60% аудитории — мужчины старше 25 лет, средний пользователь открывает приложение 55 раз и проводит 24 минуты в месяц.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306z15iufwz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Готовность платить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Клиенты с высокой цифровой грамотностью и стабильным доходом (middle+, предприниматели, стартапы B2B) выражают явную готовность платить за расширенную аналитику, AI-инсайты, автоматизацию и интеграцию с банковскими сервисами. Для низкодоходных групп и пассивных пользователей приоритет — бесплатные функции и отказ от рекламы, что формирует дуальную модель (Freemium + mass B2B SaaS).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xms97pewxo1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7. Потенциальные ниши и новые возможности рынка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ohnxsoeax0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Незаполненные ниши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AI-ассистенты для налогового и пенсионного планирования</w:t>
      </w:r>
      <w:r w:rsidDel="00000000" w:rsidR="00000000" w:rsidRPr="00000000">
        <w:rPr>
          <w:rtl w:val="0"/>
        </w:rPr>
        <w:t xml:space="preserve"> (персональный AI-консультант: помощь в инвестициях, просчёт пенсии, налоговая оптимизация);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Интеграция BNPL (Buy Now Pay Later) в PFM</w:t>
      </w:r>
      <w:r w:rsidDel="00000000" w:rsidR="00000000" w:rsidRPr="00000000">
        <w:rPr>
          <w:rtl w:val="0"/>
        </w:rPr>
        <w:t xml:space="preserve"> (отслеживание рассрочек, автоматические напоминания о платежах);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Сервисы для финансовой грамотности</w:t>
      </w:r>
      <w:r w:rsidDel="00000000" w:rsidR="00000000" w:rsidRPr="00000000">
        <w:rPr>
          <w:rtl w:val="0"/>
        </w:rPr>
        <w:t xml:space="preserve"> (обучающие AI-курсы, геймификация);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B2B-решения для автоматизации специфических отраслей</w:t>
      </w:r>
      <w:r w:rsidDel="00000000" w:rsidR="00000000" w:rsidRPr="00000000">
        <w:rPr>
          <w:rtl w:val="0"/>
        </w:rPr>
        <w:t xml:space="preserve"> (строительство, логистика, агро);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Сервисы для криптовалют и ЦФА</w:t>
      </w:r>
      <w:r w:rsidDel="00000000" w:rsidR="00000000" w:rsidRPr="00000000">
        <w:rPr>
          <w:rtl w:val="0"/>
        </w:rPr>
        <w:t xml:space="preserve"> (tax reporting AI, PFM для цифровых активов, интеграция с мультивалютными кошельками);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Платформы для ESG-анализов и "зеленых финансистов"</w:t>
      </w:r>
      <w:r w:rsidDel="00000000" w:rsidR="00000000" w:rsidRPr="00000000">
        <w:rPr>
          <w:rtl w:val="0"/>
        </w:rPr>
        <w:t xml:space="preserve"> (расчёт карбонового следа, AI-сегментация для green-инвестиций).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4wo6jvdcgv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Вызовы и ограничения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проблема — создание высококачественного единого цифрового профиля пользователя, объединяющего все источники транзакций, аккаунтов, карт, подписок и инвестиций (барьер интеграции банковских и внебанковских данных). Серьёзный ограничитель: высокая чувствительность к приватности и безопасность данных.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izuvk3o0bod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8. Инвестиции, финансирование и партнёрства на рынке PFM-стартапов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klaw9uej68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Динамика стартап-инвестиций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России и мире инвестиции в AI-финтех и PFM-секторы увеличиваются с 2021 года экстремально быстрыми темпами. Крупные сделки преобладают на Pre-seed/Seed фазе (5-100 тыс. долл. на MVP/B2C-сервисы) и Series A-B (1-5 млн долл. для B2B и экспансии). Увеличение объёма инвестиций стимулируют венчурные фонды, корпоративные акселераторы банков, государственные институты развития (например, ФРИИ, ВЭБ, Российский фонд прямых инвестиций).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ev0zxas9bd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Форматы финансирования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Bootstrapping/Self-funding</w:t>
      </w:r>
      <w:r w:rsidDel="00000000" w:rsidR="00000000" w:rsidRPr="00000000">
        <w:rPr>
          <w:rtl w:val="0"/>
        </w:rPr>
        <w:t xml:space="preserve">: особенно востребовано для нишевых стартапов (мобильные приложения, MVP-сервисы);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Бизнес-ангелы и корпоративные акселераторы</w:t>
      </w:r>
      <w:r w:rsidDel="00000000" w:rsidR="00000000" w:rsidRPr="00000000">
        <w:rPr>
          <w:rtl w:val="0"/>
        </w:rPr>
        <w:t xml:space="preserve">: предоставляют не только деньги, но и доступ к банковской инфраструктуре, API, клиентской базе;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Банковские партнёрские программы</w:t>
      </w:r>
      <w:r w:rsidDel="00000000" w:rsidR="00000000" w:rsidRPr="00000000">
        <w:rPr>
          <w:rtl w:val="0"/>
        </w:rPr>
        <w:t xml:space="preserve">: CPA/Revshare для продвижения продуктов, интеграция в экосистемы;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Венчурные фонды</w:t>
      </w:r>
      <w:r w:rsidDel="00000000" w:rsidR="00000000" w:rsidRPr="00000000">
        <w:rPr>
          <w:rtl w:val="0"/>
        </w:rPr>
        <w:t xml:space="preserve">: Series A-B для масштабирования на рынок B2B и международной экспансии.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rnl46al3rqw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Партнёрства банка и финтеха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Открытые API, сервис BankID, интеграция цифрового рубля и элементов PFM в банковские супераппы (Сбер, Тинькофф, ВТБ, Альфа) — ключевой тренд. Коллаборация с телеком- и ИТ-гигантами, маркетплейсами, госсистемами и образовательными платформами ведёт к появлению новых вертикалей (например, AI-коучинг в HR-платформах, автоматизация бухгалтерии для МСП).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4p515dbo90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9. Регуляторное окружение, безопасность, стандарты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qkgcrcy74x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9.1 Законодательная база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Принятие Федерального закона №233-ФЗ о механизмах обеспечения анонимизации и передачи обезличенных данных для AI-моделей на базе гос- и региональных систем;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Введение строгих стандартов openAPI и открытых финансов;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Пятилетний регуляторный "песочницы" для инновационных AI-решений;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Акцент на GDPR-style стандарты, кибербезопасность, EBS (единая биометрическая система).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w15hk6pxzq5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Отличия российского регулирования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Россия поставила приоритет на технологический суверенитет, защиту национальной инфраструктуры, приоритет локальных игроков, обеспечение отсутствия дискриминации и прозрачности условий доступа к экосистемам, поддержку конкуренции между платформами. Особый акцент — обеспечение равного режима для отечественных и иностранных PFM-приложений, создание доверенных механизмов передачи данных между банковскими и небанковскими сервисами.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wodtnk17r4b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10. Аналитика пользовательского поведения и поведенческие метрики в PFM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2nkzlykw28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Метрики успеха и инструменты аналитики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аналитика PFM-сервисов использует метрики MAU (monthly active users), WAU, DAU, LTV, Retention Rate, Churn Rate, Session Length, Conversion Rate, Crash Rate — вкупе с AI-моделями позволяет не только ретроспективный, но и перспективный анализ (что мотивирует пользователя тратить больше времени, как происходит конверсия, на каком этапе клиенты уходят).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xchvxnldwp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Влияние AI и ML на аналитику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делает возможными: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Персональные push-уведомления с советами;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Предиктивный прогноз ухода и целевых предложений;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Автоматизацию сегментации клиентов (clustering, scoring, маркеры);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Мгновенный анализ причин отказов и точное понимание жизненного цикла клиента.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t95ui8tsx6h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11. Кейсы успешной AI-интеграции в PFM и B2B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Сбербанк и его AI-чат-боты</w:t>
      </w:r>
      <w:r w:rsidDel="00000000" w:rsidR="00000000" w:rsidRPr="00000000">
        <w:rPr>
          <w:rtl w:val="0"/>
        </w:rPr>
        <w:t xml:space="preserve">: покрывают до 70% запросов без участия операторов, минимизируют издержки на поддержку.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KPMG и юркейсы</w:t>
      </w:r>
      <w:r w:rsidDel="00000000" w:rsidR="00000000" w:rsidRPr="00000000">
        <w:rPr>
          <w:rtl w:val="0"/>
        </w:rPr>
        <w:t xml:space="preserve">: автоматизация анализа контрактов в AI-модуле, сокращение времени на обработку на 40%.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Индивидуальные AI-решения в крупных корпорациях</w:t>
      </w:r>
      <w:r w:rsidDel="00000000" w:rsidR="00000000" w:rsidRPr="00000000">
        <w:rPr>
          <w:rtl w:val="0"/>
        </w:rPr>
        <w:t xml:space="preserve">: кастомизация под бизнес-процессы B2B, автоматизация HR, документооборот, BI-аналитика.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Облачные PFM/B2B-платформы</w:t>
      </w:r>
      <w:r w:rsidDel="00000000" w:rsidR="00000000" w:rsidRPr="00000000">
        <w:rPr>
          <w:rtl w:val="0"/>
        </w:rPr>
        <w:t xml:space="preserve">: Botkeeper для бухгалтерии, Docyt AI, Truewind — доказанное сокращение ошибок, времени на отчёты, прирост эффективности на 20–30%.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jgil1i5p4l3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12. Сравнение российского и международного рынка PFM-приложений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Россия: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Высокий уровень цифровизации, уникальная архитектура "открытых финтех-инфраструктур";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Ярко выраженная "гибридизация" — сильная интеграция банков и финтеха;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на доступ российских пользователей к международным AI, что делает YandexGPT, Алису и локальные AI-чатботы доминирующими среди "помощников" (ChatGPT, Gemini, Copilot, Grok с ограниченным доступом, VPN необходимость);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Особое внимание регуляторике, API, безопасности, поддержке "отечественных" разработок.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Международный рынок: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Большая зрелость в развитии экосистемных платформ для инвестиций, управления подписками, open-banking;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Массовая AI-аналитика в супераппах, широкий пул чат-ботов, интеграция с брокерскими, страховыми сервисами;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Преобладание подписок, сильная специализация (Mint — инвестиции, YNAB — планирование, RocketMoney — подписки).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h74ky9ud6ut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13. Выводы: потенциал рынка, рекомендации по стратегиям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Рынок PFM-приложений с AI</w:t>
      </w:r>
      <w:r w:rsidDel="00000000" w:rsidR="00000000" w:rsidRPr="00000000">
        <w:rPr>
          <w:rtl w:val="0"/>
        </w:rPr>
        <w:t xml:space="preserve"> демонстрирует экстраординарную динамику роста: более 1 трлн рублей объёма, двузначные темпы годового прироста и удвоение числа пользователей каждые 12-18 месяцев.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B2C-сектор</w:t>
      </w:r>
      <w:r w:rsidDel="00000000" w:rsidR="00000000" w:rsidRPr="00000000">
        <w:rPr>
          <w:rtl w:val="0"/>
        </w:rPr>
        <w:t xml:space="preserve"> насыщается за счёт супераппов, мультибанковских решений и AI-консьержей.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B2B-сегмент</w:t>
      </w:r>
      <w:r w:rsidDel="00000000" w:rsidR="00000000" w:rsidRPr="00000000">
        <w:rPr>
          <w:rtl w:val="0"/>
        </w:rPr>
        <w:t xml:space="preserve"> становится полем для внедрения SaaS, AI-автоматизации и сквозной интеграции (бухгалтерия + кадры + финансы) в единой платформе.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AI-функционал</w:t>
      </w:r>
      <w:r w:rsidDel="00000000" w:rsidR="00000000" w:rsidRPr="00000000">
        <w:rPr>
          <w:rtl w:val="0"/>
        </w:rPr>
        <w:t xml:space="preserve"> становится стандартом рынка — без предиктивной аналитики, автоматизированной категоризации и персонализации сервис неконкурентоспособен.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Новые ниши</w:t>
      </w:r>
      <w:r w:rsidDel="00000000" w:rsidR="00000000" w:rsidRPr="00000000">
        <w:rPr>
          <w:rtl w:val="0"/>
        </w:rPr>
        <w:t xml:space="preserve"> формируются на стыке финтеха, ESG, налогового планирования, инвестиций, BNPL и автоматизации специфических бизнес-процессов.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Платёжеспособная аудитория</w:t>
      </w:r>
      <w:r w:rsidDel="00000000" w:rsidR="00000000" w:rsidRPr="00000000">
        <w:rPr>
          <w:rtl w:val="0"/>
        </w:rPr>
        <w:t xml:space="preserve"> растёт за счёт молодёжи (акцент на UX, интеграцию с инвестиционными сервисами) и МСП (B2B). Массовый сегмент предпочитает бесплатные приложения с минимальной рекламой.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Эффективная монетизация</w:t>
      </w:r>
      <w:r w:rsidDel="00000000" w:rsidR="00000000" w:rsidRPr="00000000">
        <w:rPr>
          <w:rtl w:val="0"/>
        </w:rPr>
        <w:t xml:space="preserve"> — комбинация freemium, премиум-функций AI, партнёрских программ, B2B SaaS, комиссии за платёжные операции.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Инвесторам и разработчикам</w:t>
      </w:r>
      <w:r w:rsidDel="00000000" w:rsidR="00000000" w:rsidRPr="00000000">
        <w:rPr>
          <w:rtl w:val="0"/>
        </w:rPr>
        <w:t xml:space="preserve"> стоит сделать ставку на автоматизацию рутины, бесшовную интеграцию с банковскими системами, безопасность и открытость архитектуры.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Главные вызовы и драйверы</w:t>
      </w:r>
      <w:r w:rsidDel="00000000" w:rsidR="00000000" w:rsidRPr="00000000">
        <w:rPr>
          <w:rtl w:val="0"/>
        </w:rPr>
        <w:t xml:space="preserve">: рост конкуренции, упрочение лидерства локальных платформ, усиление требований к UX/UI и AI-аналитике, гибкая регуляторика, акцент на защиту персональных данных, борьба за доверие пользователей и устойчивое развитие продуктовой линейки.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Отчёт подготовлен на основе анализа широкого пула источников: официальная статистика Банка России, венчурных и аналитических отчётов, экспертных интервью, маркетинговых обзоров, технологических кейсов и академических исследований (2021–2025), а также актуальных прайс-листов и пользовательских метрик лидеров рынка. Все таблицы, тезисы и количественные оценки сопровождаются развернутым аналитическим комментарием и выверены по нескольким открытым данным и профессиональным публикациям.</w:t>
      </w:r>
      <w:r w:rsidDel="00000000" w:rsidR="00000000" w:rsidRPr="00000000">
        <w:rPr>
          <w:rtl w:val="0"/>
        </w:rPr>
        <w:t xml:space="preserve"> Отлично, начинаю глубокое исследование рынка приложений для учёта персональных финансов с интегрированным AI. Буду анализировать B2C и B2B сегменты, цифровые и гибридные рынки, динамику роста, ключевых игроков и оценивать объём рынка в рублях.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Это займет несколько минут, так что можете пока заняться другими делами — я продолжу работу в фоне. Отчет будет сохранён в этом чате.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