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sz w:val="22"/>
          <w:szCs w:val="22"/>
        </w:rPr>
        <w:t xml:space="preserve">Hi,</w:t>
      </w:r>
    </w:p>
    <w:p>
      <w:pPr>
        <w:spacing w:after="160"/>
      </w:pPr>
      <w:r>
        <w:rPr>
          <w:sz w:val="22"/>
          <w:szCs w:val="22"/>
        </w:rPr>
        <w:t xml:space="preserve">I'm applying for the Lead Fullstack AI Development Engineer role at Diebold Nixdorf. Taking AI product suites from foundational models to a production, user-facing application — with the front end, orchestration APIs, and DevOps guardrails all under one engineering owner — is exactly the shape of what I've been doing at CloudAngles for the last year.</w:t>
      </w:r>
    </w:p>
    <w:p>
      <w:pPr>
        <w:spacing w:after="160"/>
      </w:pPr>
      <w:r>
        <w:rPr>
          <w:sz w:val="22"/>
          <w:szCs w:val="22"/>
        </w:rPr>
        <w:t xml:space="preserve">I own TokenSight there, an AI gateway other teams route their production LLM and agent traffic through. The backend is FastAPI on ClickHouse and Redis; the frontend is a React/Next.js dashboard that streams live LLM token responses over WebSockets, which maps directly onto your real-time streaming requirement. Every call is traced with OpenTelemetry end to end, and Presidio redacts PII before anything is logged — that's the same production-guardrails discipline your 'enterprise-grade, scalable business solutions' line is asking for. It's also delivered a real number: 60-70% lower production LLM token costs from per-model cost visibility.</w:t>
      </w:r>
    </w:p>
    <w:p>
      <w:pPr>
        <w:spacing w:after="160"/>
      </w:pPr>
      <w:r>
        <w:rPr>
          <w:sz w:val="22"/>
          <w:szCs w:val="22"/>
        </w:rPr>
        <w:t xml:space="preserve">Honest gap: I haven't built with LangChain, LlamaIndex, PyTorch/TensorFlow, or agentic frameworks like AutoGen/CrewAI specifically, and I don't have hands-on vector-database work — my LLM depth is at the gateway/observability layer, not the model-orchestration layer. I'd rather say that upfront than oversell it. What transfers directly is the React/Next.js/TypeScript front-end work, the Python/FastAPI backend and API design, and the Docker/Kubernetes/CI-CD discipline needed to ship and operate all of it.</w:t>
      </w:r>
    </w:p>
    <w:p>
      <w:pPr>
        <w:spacing w:after="160"/>
      </w:pPr>
      <w:r>
        <w:rPr>
          <w:sz w:val="22"/>
          <w:szCs w:val="22"/>
        </w:rPr>
        <w:t xml:space="preserve">I'm Hyderabad-based on immediate notice, so this is a straightforward fit logistically — happy to walk through TokenSight's architecture in more detail.</w:t>
      </w:r>
    </w:p>
    <w:p>
      <w:pPr>
        <w:spacing w:after="160"/>
      </w:pPr>
      <w:r>
        <w:rPr>
          <w:sz w:val="22"/>
          <w:szCs w:val="22"/>
        </w:rPr>
        <w:t xml:space="preserve">Thanks for considering my application.</w:t>
      </w:r>
    </w:p>
    <w:p>
      <w:pPr>
        <w:spacing w:after="40"/>
      </w:pPr>
      <w:r>
        <w:rPr>
          <w:sz w:val="22"/>
          <w:szCs w:val="22"/>
        </w:rPr>
        <w:t xml:space="preserve">Siva Kumar</w:t>
      </w:r>
    </w:p>
    <w:p>
      <w:pPr>
        <w:spacing w:after="160"/>
      </w:pPr>
      <w:r>
        <w:rPr>
          <w:sz w:val="22"/>
          <w:szCs w:val="22"/>
        </w:rPr>
        <w:t xml:space="preserve">+91 7799044392 | vshivakumar967@gmail.com | linkedin.com/in/sivakumarvakiti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2026-10-09T02:19:07.879Z</dcterms:created>
  <dcterms:modified xsi:type="dcterms:W3CDTF">2026-10-09T02:19:07.879Z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