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2"/>
          <w:szCs w:val="22"/>
        </w:rPr>
        <w:t xml:space="preserve">Hi,</w:t>
      </w:r>
    </w:p>
    <w:p>
      <w:pPr>
        <w:spacing w:after="160"/>
      </w:pPr>
      <w:r>
        <w:rPr>
          <w:sz w:val="22"/>
          <w:szCs w:val="22"/>
        </w:rPr>
        <w:t xml:space="preserve">I'm applying for the Lead Forward Deployed Engineer (AI) role on Mastercard's Business &amp; Market Insights team. The core motion you're describing — embed with a client, build a scoped prototype to test one real hypothesis, and hand off an evidence-backed brief rather than a finished product — is close to how TokenSight actually started at CloudAngles, just pointed inward at our own engineering org instead of an external client.</w:t>
      </w:r>
    </w:p>
    <w:p>
      <w:pPr>
        <w:spacing w:after="160"/>
      </w:pPr>
      <w:r>
        <w:rPr>
          <w:sz w:val="22"/>
          <w:szCs w:val="22"/>
        </w:rPr>
        <w:t xml:space="preserve">TokenSight began as an ambiguous ask: stakeholders didn't trust our LLM cost and usage data. I scoped it, built a working prototype fast, validated the cost/observability hypothesis with the people who'd use it, and only then built out the production version — FastAPI/ClickHouse/Redis, OpenTelemetry tracing, Presidio PII redaction — that now cuts production LLM token costs 60-70%. I'm fluent in Python and SQL, comfortable with LLM APIs and prompt engineering, and three years at Altimetrik were spent delivering PCI-DSS-constrained payment integrations (Razorpay, Stripe, PayU), which is the closest real-world analogue I have to the data-sensitivity and compliance posture your issuer/acquirer clients operate under.</w:t>
      </w:r>
    </w:p>
    <w:p>
      <w:pPr>
        <w:spacing w:after="160"/>
      </w:pPr>
      <w:r>
        <w:rPr>
          <w:sz w:val="22"/>
          <w:szCs w:val="22"/>
        </w:rPr>
        <w:t xml:space="preserve">Honest gap: everything above was scoped with internal engineering stakeholders, not external enterprise clients in a formal pre-sales or discovery setting — the client-embedded, pre-code motion this role is built around would be genuinely new territory for me, even though the underlying skill (turn an ambiguous ask into a working prototype and a clear go/no-go brief) is one I exercise regularly. I'd rather flag that directly than imply FDE experience I don't have.</w:t>
      </w:r>
    </w:p>
    <w:p>
      <w:pPr>
        <w:spacing w:after="160"/>
      </w:pPr>
      <w:r>
        <w:rPr>
          <w:sz w:val="22"/>
          <w:szCs w:val="22"/>
        </w:rPr>
        <w:t xml:space="preserve">I'm based in Hyderabad and open to relocating to Pune for this role, on immediate notice. Happy to talk through how TokenSight was scoped and built if that's useful context.</w:t>
      </w:r>
    </w:p>
    <w:p>
      <w:pPr>
        <w:spacing w:after="160"/>
      </w:pPr>
      <w:r>
        <w:rPr>
          <w:sz w:val="22"/>
          <w:szCs w:val="22"/>
        </w:rPr>
        <w:t xml:space="preserve">Thanks for considering my application.</w:t>
      </w:r>
    </w:p>
    <w:p>
      <w:pPr>
        <w:spacing w:after="40"/>
      </w:pPr>
      <w:r>
        <w:rPr>
          <w:sz w:val="22"/>
          <w:szCs w:val="22"/>
        </w:rPr>
        <w:t xml:space="preserve">Siva Kumar</w:t>
      </w:r>
    </w:p>
    <w:p>
      <w:pPr>
        <w:spacing w:after="160"/>
      </w:pPr>
      <w:r>
        <w:rPr>
          <w:sz w:val="22"/>
          <w:szCs w:val="22"/>
        </w:rPr>
        <w:t xml:space="preserve">+91 7799044392 | vshivakumar967@gmail.com | linkedin.com/in/sivakumarvakiti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2026-10-09T02:19:07.970Z</dcterms:created>
  <dcterms:modified xsi:type="dcterms:W3CDTF">2026-10-09T02:19:07.970Z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