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26"/>
          <w:szCs w:val="26"/>
        </w:rPr>
        <w:t xml:space="preserve">Siva Kumar</w:t>
      </w:r>
    </w:p>
    <w:p>
      <w:pPr>
        <w:spacing w:after="200"/>
      </w:pPr>
      <w:r>
        <w:rPr>
          <w:sz w:val="20"/>
          <w:szCs w:val="20"/>
        </w:rPr>
        <w:t xml:space="preserve">Hyderabad, India  |  +91 7799044392  |  vshivakumar967@gmail.com  |  linkedin.com/in/sivakumarvakiti  |  github.com/sivavakitigit</w:t>
      </w:r>
    </w:p>
    <w:p>
      <w:pPr>
        <w:spacing w:after="160"/>
      </w:pPr>
      <w:r>
        <w:t xml:space="preserve">Your Lead Software Engineer role asks for a Python + React full-stack lead who can also set the standard for how the team validates AI-generated code — at CloudAngles I lead TokenSight, an AI gateway, and part of that job has been deciding what "good" looks like when LLM output feeds into production systems. That is a narrower version of the same problem your JD describes at team scale.</w:t>
      </w:r>
    </w:p>
    <w:p>
      <w:pPr>
        <w:spacing w:after="160"/>
      </w:pPr>
      <w:r>
        <w:t xml:space="preserve">The financial-services angle is not new territory either: at Altimetrik I built payment applications under PCI-DSS constraints, integrating Razorpay, Stripe, and PayU, so working inside a regulated, audit-conscious environment like JPMorgan is familiar rather than a leap.</w:t>
      </w:r>
    </w:p>
    <w:p>
      <w:pPr>
        <w:spacing w:after="160"/>
      </w:pPr>
      <w:r>
        <w:t xml:space="preserve">One honest gap: my production Python framework has been FastAPI, not Django — the concepts transfer (ORMs, request lifecycle, testing patterns), but I have not shipped on Django itself, and I would rather say that upfront than gloss over it.</w:t>
      </w:r>
    </w:p>
    <w:p>
      <w:pPr>
        <w:spacing w:after="160"/>
      </w:pPr>
      <w:r>
        <w:t xml:space="preserve">I am on immediate notice and open to relocating to Bengaluru or discussing a hybrid arrangement. Happy to walk through the TokenSight work in more detail.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2026-09-22T02:29:29.992Z</dcterms:created>
  <dcterms:modified xsi:type="dcterms:W3CDTF">2026-09-22T02:29:29.992Z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