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1"/>
        </w:rPr>
        <w:t>Hi,</w:t>
      </w:r>
    </w:p>
    <w:p>
      <w:r>
        <w:rPr>
          <w:b w:val="0"/>
          <w:sz w:val="21"/>
        </w:rPr>
        <w:t>I'm applying for the Staff Software Engineer role on AI-native product development at ServiceNow's Hyderabad office. Architecting systems at the intersection of UI, backend, and AI-driven engineering is exactly what I've spent the last year doing at CloudAngles, at a smaller scale than ServiceNow's platform.</w:t>
      </w:r>
    </w:p>
    <w:p>
      <w:r>
        <w:rPr>
          <w:b w:val="0"/>
          <w:sz w:val="21"/>
        </w:rPr>
        <w:t>I own TokenSight, an AI gateway other engineering teams route their production LLM and agent traffic through. I integrated LLM APIs with structured-output handling and Presidio-based PII redaction as a guardrail layer, and I instrumented OpenTelemetry tracing across every LLM/agent call so latency, failures, and behavior are debuggable in production — close to your ask for engineers to set the tracing/observability guardrails for AI-assisted development. On top of that, per-model cost visibility cut production LLM token costs 60-70%, so there's real production-scale track record behind it.</w:t>
      </w:r>
    </w:p>
    <w:p>
      <w:r>
        <w:rPr>
          <w:b w:val="0"/>
          <w:sz w:val="21"/>
        </w:rPr>
        <w:t>Honest gap: your JD also wants hands-on RAG/retrieval and embeddings/vector-store debugging plus formal eval-harness and golden-dataset work (LangChain/LlamaIndex-style). My production depth is at the gateway, cost, and tracing layer rather than that specific eval-infrastructure layer, so I'd rather say that directly than oversell it. What I bring instead is 9 years of full-stack delivery — strong Python/Node backend, React/Next.js frontend, Docker/Kubernetes/CI-CD — and daily use of AI coding agents (Claude, Copilot) in my own engineering work.</w:t>
      </w:r>
    </w:p>
    <w:p>
      <w:r>
        <w:rPr>
          <w:b w:val="0"/>
          <w:sz w:val="21"/>
        </w:rPr>
        <w:t>I'm Hyderabad-based, so this opening needs no relocation, and I'm on immediate notice. Happy to walk through TokenSight's tracing and cost-optimization architecture in more detail.</w:t>
      </w:r>
    </w:p>
    <w:p>
      <w:r>
        <w:rPr>
          <w:b w:val="0"/>
          <w:sz w:val="21"/>
        </w:rPr>
        <w:t>Thanks for considering my application.</w:t>
      </w:r>
    </w:p>
    <w:p>
      <w:r>
        <w:rPr>
          <w:b w:val="0"/>
          <w:sz w:val="21"/>
        </w:rPr>
        <w:t>Siva Kumar</w:t>
      </w:r>
    </w:p>
    <w:p>
      <w:r>
        <w:rPr>
          <w:b w:val="0"/>
          <w:sz w:val="21"/>
        </w:rPr>
        <w:t>+91 7799044392 | vshivakumar967@gmail.com |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