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2"/>
        </w:rPr>
        <w:t>Siva Kumar</w:t>
      </w:r>
    </w:p>
    <w:p>
      <w:pPr>
        <w:spacing w:after="200"/>
      </w:pPr>
      <w:r>
        <w:rPr>
          <w:b w:val="0"/>
          <w:sz w:val="20"/>
        </w:rPr>
        <w:t>Hyderabad, India  |  +91 7799044392  |  vshivakumar967@gmail.com  |  linkedin.com/in/sivakumarvakiti  |  github.com/sivavakitigit</w:t>
      </w:r>
    </w:p>
    <w:p>
      <w:pPr>
        <w:spacing w:after="200"/>
      </w:pPr>
      <w:r>
        <w:rPr>
          <w:b w:val="0"/>
          <w:sz w:val="22"/>
        </w:rPr>
        <w:t>Your Lead Full Stack Developer role asks for Python (FastAPI/Flask/Django), React, SQL, and AWS built for an Asset Management business — that's close to my current stack at CloudAngles, where I own an AI gateway end to end on FastAPI, React/Next.js, and AWS, and close to my domain background at Altimetrik, where I built fintech applications under PCI-DSS integrating Razorpay, Stripe, and PayU.</w:t>
      </w:r>
    </w:p>
    <w:p>
      <w:pPr>
        <w:spacing w:after="200"/>
      </w:pPr>
      <w:r>
        <w:rPr>
          <w:b w:val="0"/>
          <w:sz w:val="22"/>
        </w:rPr>
        <w:t>What I think maps well: the "lead" scope in your posting — design, build, deploy, and production support, with code review and technical guidance to other developers — is what I've been doing at CloudAngles for the last year-plus, not something I'd be stepping into for the first time.</w:t>
      </w:r>
    </w:p>
    <w:p>
      <w:pPr>
        <w:spacing w:after="200"/>
      </w:pPr>
      <w:r>
        <w:rPr>
          <w:b w:val="0"/>
          <w:sz w:val="22"/>
        </w:rPr>
        <w:t>Two things I want to flag rather than gloss over: this role is Noida-based with in-office days, and I'm currently in Hyderabad, so it would mean relocating — I'm open to it, just being upfront. And I don't hold an AWS certification or have hands-on Terraform experience (I've used CloudFormation-style IaC, not Terraform specifically).</w:t>
      </w:r>
    </w:p>
    <w:p>
      <w:pPr>
        <w:spacing w:after="200"/>
      </w:pPr>
      <w:r>
        <w:rPr>
          <w:b w:val="0"/>
          <w:sz w:val="22"/>
        </w:rPr>
        <w:t>I'm on immediate notice and happy to talk through the TokenSight architecture or the PCI-DSS payment integration work at Altimetrik whenever useful.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